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158B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bookmarkStart w:id="0" w:name="_Hlk534626615"/>
      <w:bookmarkStart w:id="1" w:name="_GoBack"/>
      <w:bookmarkEnd w:id="1"/>
      <w:r w:rsidRPr="00B91F53">
        <w:rPr>
          <w:rFonts w:cs="Calibri"/>
          <w:noProof/>
          <w:color w:val="000000"/>
          <w:lang w:eastAsia="en-GB"/>
        </w:rPr>
        <w:drawing>
          <wp:inline distT="0" distB="0" distL="0" distR="0" wp14:anchorId="221448FB" wp14:editId="7F4092CE">
            <wp:extent cx="1323975" cy="294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linkCAT 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98" cy="3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3F4D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05EB4398" w14:textId="77777777" w:rsidR="00203D2A" w:rsidRPr="00856C6A" w:rsidRDefault="00203D2A" w:rsidP="00203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B91F53">
        <w:rPr>
          <w:b/>
          <w:sz w:val="24"/>
        </w:rPr>
        <w:t xml:space="preserve">EUROlinkCAT WP4 - Medication use in children with congenital </w:t>
      </w:r>
      <w:r w:rsidRPr="00856C6A">
        <w:rPr>
          <w:b/>
          <w:sz w:val="24"/>
          <w:szCs w:val="24"/>
        </w:rPr>
        <w:t xml:space="preserve">anomalies as a measure of co-morbidities </w:t>
      </w:r>
    </w:p>
    <w:p w14:paraId="2D8CD0CC" w14:textId="77777777" w:rsidR="00203D2A" w:rsidRPr="00856C6A" w:rsidRDefault="00203D2A" w:rsidP="00203D2A">
      <w:pPr>
        <w:rPr>
          <w:b/>
          <w:sz w:val="24"/>
        </w:rPr>
      </w:pPr>
    </w:p>
    <w:p w14:paraId="0E32ECE4" w14:textId="59E3A8C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B91F53">
        <w:rPr>
          <w:b/>
          <w:sz w:val="24"/>
        </w:rPr>
        <w:t xml:space="preserve">Statistical analysis plan for WP4 Morbidity Study II – VERSION </w:t>
      </w:r>
      <w:r w:rsidR="00D32232">
        <w:rPr>
          <w:b/>
          <w:sz w:val="24"/>
        </w:rPr>
        <w:t>1.</w:t>
      </w:r>
      <w:r w:rsidR="005215EE">
        <w:rPr>
          <w:b/>
          <w:sz w:val="24"/>
        </w:rPr>
        <w:t>2</w:t>
      </w:r>
    </w:p>
    <w:p w14:paraId="52B6A4F1" w14:textId="0ACD9D5E" w:rsidR="00203D2A" w:rsidRDefault="00203D2A" w:rsidP="00203D2A"/>
    <w:p w14:paraId="43E2A1A5" w14:textId="77777777" w:rsidR="00203D2A" w:rsidRPr="00B91F53" w:rsidRDefault="00203D2A" w:rsidP="00203D2A">
      <w:r w:rsidRPr="00B91F53">
        <w:rPr>
          <w:b/>
        </w:rPr>
        <w:t>Aim</w:t>
      </w:r>
      <w:r w:rsidRPr="00B91F53">
        <w:t xml:space="preserve">: To evaluate specific medication use as an indication of the presence of co-morbidities in children up to 10 years of age with and without congenital anomalies </w:t>
      </w:r>
    </w:p>
    <w:p w14:paraId="68600697" w14:textId="77777777" w:rsidR="00203D2A" w:rsidRPr="00B91F53" w:rsidRDefault="00203D2A" w:rsidP="00203D2A">
      <w:pPr>
        <w:outlineLvl w:val="1"/>
        <w:rPr>
          <w:b/>
          <w:i/>
        </w:rPr>
      </w:pPr>
      <w:r w:rsidRPr="00B91F53">
        <w:rPr>
          <w:b/>
          <w:i/>
        </w:rPr>
        <w:t>Medication exposure data</w:t>
      </w:r>
    </w:p>
    <w:p w14:paraId="46E9ABEB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>The medications of interest are:</w:t>
      </w:r>
    </w:p>
    <w:p w14:paraId="042CDE48" w14:textId="77777777" w:rsidR="005215EE" w:rsidRPr="00B91F53" w:rsidRDefault="005215EE" w:rsidP="005215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 xml:space="preserve">Infections (ATC codes beginning with J01-J05). </w:t>
      </w:r>
    </w:p>
    <w:p w14:paraId="0D7520C7" w14:textId="77777777" w:rsidR="00203D2A" w:rsidRPr="00B91F53" w:rsidRDefault="00203D2A" w:rsidP="00203D2A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 xml:space="preserve">Asthma (ATC codes beginning with R03) </w:t>
      </w:r>
    </w:p>
    <w:p w14:paraId="617733EE" w14:textId="77777777" w:rsidR="00203D2A" w:rsidRPr="00B91F53" w:rsidRDefault="00203D2A" w:rsidP="00203D2A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 xml:space="preserve">Cardiac (ATC codes beginning with C01-C03, C07-C09) </w:t>
      </w:r>
    </w:p>
    <w:p w14:paraId="1DB85BF2" w14:textId="77777777" w:rsidR="005215EE" w:rsidRPr="00B91F53" w:rsidRDefault="005215EE" w:rsidP="005215EE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 xml:space="preserve">Epilepsy (ATC codes beginning with N03) </w:t>
      </w:r>
    </w:p>
    <w:p w14:paraId="35100FCC" w14:textId="77777777" w:rsidR="00203D2A" w:rsidRPr="00B91F53" w:rsidRDefault="00203D2A" w:rsidP="00203D2A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 xml:space="preserve">Diabetes (ATC codes beginning with A10) </w:t>
      </w:r>
    </w:p>
    <w:p w14:paraId="1AAB6846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8D0A5AC" w14:textId="77777777" w:rsidR="00203D2A" w:rsidRPr="00B91F53" w:rsidRDefault="00203D2A" w:rsidP="00203D2A">
      <w:pPr>
        <w:outlineLvl w:val="1"/>
        <w:rPr>
          <w:b/>
          <w:i/>
        </w:rPr>
      </w:pPr>
      <w:r w:rsidRPr="00B91F53">
        <w:rPr>
          <w:b/>
          <w:i/>
        </w:rPr>
        <w:t>Age categories of children</w:t>
      </w:r>
    </w:p>
    <w:p w14:paraId="7770BC08" w14:textId="77777777" w:rsidR="00203D2A" w:rsidRPr="00B91F53" w:rsidRDefault="00203D2A" w:rsidP="00203D2A">
      <w:bookmarkStart w:id="2" w:name="_Hlk3197394"/>
      <w:r w:rsidRPr="00B91F53">
        <w:t>&lt;1 years, 1-4 years and 5-9 years.</w:t>
      </w:r>
    </w:p>
    <w:p w14:paraId="3AEA652F" w14:textId="77777777" w:rsidR="00203D2A" w:rsidRPr="00B91F53" w:rsidRDefault="00203D2A" w:rsidP="00203D2A">
      <w:r w:rsidRPr="00B91F53">
        <w:t xml:space="preserve"> </w:t>
      </w:r>
      <w:bookmarkEnd w:id="2"/>
    </w:p>
    <w:p w14:paraId="4D3893AA" w14:textId="77777777" w:rsidR="00203D2A" w:rsidRPr="00B91F53" w:rsidRDefault="00203D2A" w:rsidP="00203D2A">
      <w:pPr>
        <w:rPr>
          <w:b/>
          <w:i/>
        </w:rPr>
      </w:pPr>
      <w:r w:rsidRPr="00B91F53">
        <w:rPr>
          <w:b/>
          <w:i/>
        </w:rPr>
        <w:t>Congenital anomaly groups</w:t>
      </w:r>
    </w:p>
    <w:p w14:paraId="0E85C790" w14:textId="77777777" w:rsidR="00203D2A" w:rsidRPr="00B91F53" w:rsidRDefault="00203D2A" w:rsidP="00203D2A">
      <w:r w:rsidRPr="00B91F53">
        <w:t>Unless specified otherwise the CA groups used in the below tables are:</w:t>
      </w:r>
    </w:p>
    <w:p w14:paraId="3D459AE2" w14:textId="77777777" w:rsidR="00203D2A" w:rsidRPr="00B91F53" w:rsidRDefault="00203D2A" w:rsidP="007538D5">
      <w:pPr>
        <w:numPr>
          <w:ilvl w:val="1"/>
          <w:numId w:val="10"/>
        </w:numPr>
        <w:contextualSpacing/>
        <w:jc w:val="both"/>
      </w:pPr>
      <w:r w:rsidRPr="00B91F53">
        <w:t>All anomalies subgroup (al1)</w:t>
      </w:r>
    </w:p>
    <w:p w14:paraId="32539317" w14:textId="069D93F4" w:rsidR="00203D2A" w:rsidRPr="00B91F53" w:rsidRDefault="00203D2A" w:rsidP="007538D5">
      <w:pPr>
        <w:numPr>
          <w:ilvl w:val="1"/>
          <w:numId w:val="10"/>
        </w:numPr>
        <w:contextualSpacing/>
        <w:jc w:val="both"/>
      </w:pPr>
      <w:r w:rsidRPr="00B91F53">
        <w:t>Isolated anomalies</w:t>
      </w:r>
      <w:r w:rsidR="00A94446">
        <w:rPr>
          <w:rStyle w:val="FootnoteReference"/>
        </w:rPr>
        <w:footnoteReference w:id="1"/>
      </w:r>
      <w:r w:rsidRPr="00B91F53">
        <w:t xml:space="preserve"> (mult_malf=A,R,N,I) (spina bifida, hydrocephalus, severe </w:t>
      </w:r>
      <w:r w:rsidR="00FB012A" w:rsidRPr="00B91F53">
        <w:t>microcephaly</w:t>
      </w:r>
      <w:r w:rsidRPr="00B91F53">
        <w:t xml:space="preserve">, CHD, severe CHD, transposition of the great vessels, VSD, ASD, Tetralogy of Fallot, coarctation of the aorta, PDA, cleft lip with or without cleft palate, cleft palate, oesophageal atresia, anorectal atresia, </w:t>
      </w:r>
      <w:r w:rsidR="00FB012A" w:rsidRPr="00B91F53">
        <w:t>diaphragmatic</w:t>
      </w:r>
      <w:r w:rsidRPr="00B91F53">
        <w:t xml:space="preserve"> hernia, gastroschisis, multicystic renal dysplasia, congenital hydronephrosis, hypospadias, limb reduction defects, club foot, hip dislocation and craniosynostosis) </w:t>
      </w:r>
    </w:p>
    <w:p w14:paraId="5B716E9E" w14:textId="56C76DF3" w:rsidR="004C606A" w:rsidRDefault="004C606A" w:rsidP="007538D5">
      <w:pPr>
        <w:numPr>
          <w:ilvl w:val="1"/>
          <w:numId w:val="10"/>
        </w:numPr>
        <w:contextualSpacing/>
        <w:jc w:val="both"/>
      </w:pPr>
      <w:r>
        <w:t>Chromosomal anomalies</w:t>
      </w:r>
      <w:r w:rsidR="00203D2A" w:rsidRPr="00B91F53">
        <w:t xml:space="preserve"> – Down syndrome (all, with CHD, without CHD), Turner syndrome </w:t>
      </w:r>
    </w:p>
    <w:p w14:paraId="4B3E9BAB" w14:textId="1BD54805" w:rsidR="00203D2A" w:rsidRDefault="004C606A" w:rsidP="007538D5">
      <w:pPr>
        <w:numPr>
          <w:ilvl w:val="1"/>
          <w:numId w:val="10"/>
        </w:numPr>
        <w:contextualSpacing/>
        <w:jc w:val="both"/>
      </w:pPr>
      <w:r>
        <w:t xml:space="preserve">Rare </w:t>
      </w:r>
      <w:r w:rsidR="00203D2A" w:rsidRPr="00B91F53">
        <w:t>anomalies</w:t>
      </w:r>
      <w:r>
        <w:t xml:space="preserve"> - </w:t>
      </w:r>
      <w:r w:rsidR="00F2710C">
        <w:t>anomalies</w:t>
      </w:r>
      <w:r w:rsidR="00203D2A" w:rsidRPr="00B91F53">
        <w:t xml:space="preserve"> of the Corpus Callosum and Di George syndrome. </w:t>
      </w:r>
    </w:p>
    <w:p w14:paraId="1C3D014C" w14:textId="6B679341" w:rsidR="007538D5" w:rsidRPr="00B91F53" w:rsidRDefault="007538D5" w:rsidP="007538D5">
      <w:pPr>
        <w:contextualSpacing/>
        <w:jc w:val="both"/>
      </w:pPr>
    </w:p>
    <w:p w14:paraId="3BE6BF72" w14:textId="77777777" w:rsidR="00203D2A" w:rsidRPr="00B91F53" w:rsidRDefault="00203D2A" w:rsidP="00203D2A">
      <w:pPr>
        <w:rPr>
          <w:b/>
          <w:i/>
        </w:rPr>
      </w:pPr>
      <w:r w:rsidRPr="00B91F53">
        <w:rPr>
          <w:b/>
          <w:i/>
        </w:rPr>
        <w:t xml:space="preserve">Risk factors </w:t>
      </w:r>
    </w:p>
    <w:p w14:paraId="1E4B4777" w14:textId="55042A3D" w:rsidR="00203D2A" w:rsidRPr="00B91F53" w:rsidRDefault="00203D2A" w:rsidP="00203D2A">
      <w:r w:rsidRPr="00B91F53">
        <w:t xml:space="preserve">The </w:t>
      </w:r>
      <w:r w:rsidR="00F2710C">
        <w:t xml:space="preserve">following </w:t>
      </w:r>
      <w:r w:rsidRPr="00B91F53">
        <w:t>risk factors</w:t>
      </w:r>
      <w:r w:rsidR="00F2710C">
        <w:t xml:space="preserve"> will be investigated</w:t>
      </w:r>
      <w:r w:rsidRPr="00B91F53">
        <w:t xml:space="preserve">: </w:t>
      </w:r>
    </w:p>
    <w:p w14:paraId="49016BE8" w14:textId="16F9AF02" w:rsidR="00203D2A" w:rsidRPr="00B91F53" w:rsidRDefault="00203D2A" w:rsidP="00203D2A">
      <w:pPr>
        <w:numPr>
          <w:ilvl w:val="0"/>
          <w:numId w:val="1"/>
        </w:numPr>
        <w:autoSpaceDE w:val="0"/>
        <w:autoSpaceDN w:val="0"/>
        <w:adjustRightInd w:val="0"/>
        <w:spacing w:after="61" w:line="240" w:lineRule="auto"/>
        <w:rPr>
          <w:rFonts w:cs="Calibri"/>
          <w:color w:val="000000"/>
        </w:rPr>
      </w:pPr>
      <w:r w:rsidRPr="00B91F53">
        <w:rPr>
          <w:rFonts w:cs="Calibri"/>
          <w:color w:val="000000"/>
        </w:rPr>
        <w:t>time period, sex, gestational age, maternal age, maternal non-resident/migrant status, and SES.</w:t>
      </w:r>
    </w:p>
    <w:p w14:paraId="56958EA7" w14:textId="77777777" w:rsidR="00203D2A" w:rsidRPr="00B91F53" w:rsidRDefault="00203D2A" w:rsidP="00203D2A"/>
    <w:p w14:paraId="428E81AC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B91F53">
        <w:rPr>
          <w:b/>
          <w:sz w:val="24"/>
        </w:rPr>
        <w:lastRenderedPageBreak/>
        <w:t>Statistical analysis</w:t>
      </w:r>
    </w:p>
    <w:p w14:paraId="701177A0" w14:textId="77777777" w:rsidR="00203D2A" w:rsidRPr="00B91F53" w:rsidRDefault="00203D2A" w:rsidP="00203D2A"/>
    <w:p w14:paraId="692734A7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b/>
          <w:caps/>
          <w:color w:val="000000"/>
        </w:rPr>
      </w:pPr>
      <w:r w:rsidRPr="00B91F53">
        <w:rPr>
          <w:rFonts w:cs="Calibri"/>
          <w:b/>
          <w:caps/>
          <w:color w:val="000000"/>
        </w:rPr>
        <w:t xml:space="preserve">Background data for paper – as per morbidity </w:t>
      </w:r>
    </w:p>
    <w:p w14:paraId="201BCA81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b/>
          <w:caps/>
          <w:color w:val="000000"/>
        </w:rPr>
      </w:pPr>
    </w:p>
    <w:p w14:paraId="6534768D" w14:textId="3E67032F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caps/>
          <w:color w:val="000000"/>
        </w:rPr>
      </w:pPr>
      <w:r w:rsidRPr="00B91F53">
        <w:rPr>
          <w:rFonts w:cs="Calibri"/>
          <w:color w:val="000000"/>
        </w:rPr>
        <w:t xml:space="preserve">Number of cases (all anomalies, </w:t>
      </w:r>
      <w:r w:rsidR="001A26B5">
        <w:rPr>
          <w:rFonts w:cs="Calibri"/>
          <w:color w:val="000000"/>
        </w:rPr>
        <w:t>CA</w:t>
      </w:r>
      <w:r w:rsidR="001A26B5" w:rsidRPr="00B91F53">
        <w:rPr>
          <w:rFonts w:cs="Calibri"/>
          <w:color w:val="000000"/>
        </w:rPr>
        <w:t xml:space="preserve"> </w:t>
      </w:r>
      <w:r w:rsidRPr="00B91F53">
        <w:rPr>
          <w:rFonts w:cs="Calibri"/>
          <w:color w:val="000000"/>
        </w:rPr>
        <w:t xml:space="preserve">subgroups, and isolated </w:t>
      </w:r>
      <w:r w:rsidR="001A26B5">
        <w:rPr>
          <w:rFonts w:cs="Calibri"/>
          <w:color w:val="000000"/>
        </w:rPr>
        <w:t>CA</w:t>
      </w:r>
      <w:r w:rsidRPr="00B91F53">
        <w:rPr>
          <w:rFonts w:cs="Calibri"/>
          <w:color w:val="000000"/>
        </w:rPr>
        <w:t>) and controls, by 3 time periods (</w:t>
      </w:r>
      <w:r w:rsidR="006D6BB8">
        <w:rPr>
          <w:rFonts w:cs="Calibri"/>
          <w:color w:val="000000"/>
        </w:rPr>
        <w:t>2000</w:t>
      </w:r>
      <w:r w:rsidRPr="00B91F53">
        <w:rPr>
          <w:rFonts w:cs="Calibri"/>
          <w:color w:val="000000"/>
        </w:rPr>
        <w:t>-2004</w:t>
      </w:r>
      <w:r w:rsidRPr="00B91F53">
        <w:rPr>
          <w:rFonts w:cs="Calibri"/>
          <w:caps/>
          <w:color w:val="000000"/>
        </w:rPr>
        <w:t>, 2005-2009, 2010-2014).</w:t>
      </w:r>
    </w:p>
    <w:p w14:paraId="28B4E833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b/>
          <w:caps/>
          <w:color w:val="000000"/>
        </w:rPr>
      </w:pPr>
    </w:p>
    <w:p w14:paraId="3F3CB25C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rPr>
          <w:rFonts w:cs="Calibri"/>
          <w:b/>
          <w:caps/>
          <w:color w:val="000000"/>
        </w:rPr>
      </w:pPr>
      <w:r w:rsidRPr="00B91F53">
        <w:rPr>
          <w:rFonts w:cs="Calibri"/>
          <w:b/>
          <w:caps/>
          <w:color w:val="000000"/>
        </w:rPr>
        <w:t>Frequency tables (</w:t>
      </w:r>
      <w:r w:rsidRPr="00B91F53">
        <w:rPr>
          <w:rFonts w:cs="Calibri"/>
          <w:b/>
          <w:color w:val="000000"/>
        </w:rPr>
        <w:t>descriptive stats)</w:t>
      </w:r>
      <w:r w:rsidRPr="00B91F53">
        <w:rPr>
          <w:rFonts w:cs="Calibri"/>
          <w:b/>
          <w:caps/>
          <w:color w:val="000000"/>
        </w:rPr>
        <w:t xml:space="preserve"> for</w:t>
      </w:r>
      <w:r w:rsidRPr="00B91F53">
        <w:rPr>
          <w:rFonts w:cs="Calibri"/>
          <w:b/>
          <w:color w:val="000000"/>
        </w:rPr>
        <w:t xml:space="preserve"> </w:t>
      </w:r>
      <w:r w:rsidRPr="00B91F53">
        <w:rPr>
          <w:rFonts w:cs="Calibri"/>
          <w:b/>
          <w:caps/>
          <w:color w:val="000000"/>
        </w:rPr>
        <w:t xml:space="preserve">study subjects </w:t>
      </w:r>
    </w:p>
    <w:p w14:paraId="1693585A" w14:textId="77777777" w:rsidR="00203D2A" w:rsidRPr="00B91F53" w:rsidRDefault="00203D2A" w:rsidP="00203D2A"/>
    <w:p w14:paraId="2DB141DF" w14:textId="77777777" w:rsidR="00203D2A" w:rsidRPr="00B91F53" w:rsidRDefault="00203D2A" w:rsidP="007538D5">
      <w:pPr>
        <w:numPr>
          <w:ilvl w:val="0"/>
          <w:numId w:val="2"/>
        </w:numPr>
        <w:spacing w:after="240"/>
        <w:ind w:left="357" w:hanging="357"/>
      </w:pPr>
      <w:r w:rsidRPr="00B91F53">
        <w:t xml:space="preserve"> Denominator tables</w:t>
      </w:r>
    </w:p>
    <w:p w14:paraId="0438E54D" w14:textId="77777777" w:rsidR="00203D2A" w:rsidRPr="00B91F53" w:rsidRDefault="00203D2A" w:rsidP="007538D5">
      <w:pPr>
        <w:numPr>
          <w:ilvl w:val="0"/>
          <w:numId w:val="9"/>
        </w:numPr>
        <w:contextualSpacing/>
      </w:pPr>
      <w:r w:rsidRPr="00B91F53">
        <w:t xml:space="preserve">Total number, and number in each risk factor category, for controls and congenital anomalies by EUROCAT subgroup. </w:t>
      </w:r>
    </w:p>
    <w:p w14:paraId="15C173EC" w14:textId="77777777" w:rsidR="00203D2A" w:rsidRPr="00B91F53" w:rsidRDefault="00203D2A" w:rsidP="007538D5">
      <w:pPr>
        <w:numPr>
          <w:ilvl w:val="0"/>
          <w:numId w:val="9"/>
        </w:numPr>
        <w:contextualSpacing/>
      </w:pPr>
      <w:r w:rsidRPr="00B91F53">
        <w:t>Total number of person years of follow-up, and person-years in each risk factor category, for controls and congenital anomalies by EUROCAT subgroup</w:t>
      </w:r>
    </w:p>
    <w:p w14:paraId="3988DA02" w14:textId="5DF6F53A" w:rsidR="00203D2A" w:rsidRDefault="00203D2A" w:rsidP="00203D2A"/>
    <w:p w14:paraId="662A896F" w14:textId="15EA2833" w:rsidR="00F731FD" w:rsidRDefault="00F731FD" w:rsidP="00203D2A">
      <w:pPr>
        <w:rPr>
          <w:b/>
        </w:rPr>
      </w:pPr>
      <w:r w:rsidRPr="00F731FD">
        <w:rPr>
          <w:b/>
        </w:rPr>
        <w:t>Stage I analysis:</w:t>
      </w:r>
    </w:p>
    <w:p w14:paraId="5314E9E5" w14:textId="7FB019A2" w:rsidR="002B14DA" w:rsidRPr="00F731FD" w:rsidRDefault="002B14DA" w:rsidP="00203D2A">
      <w:pPr>
        <w:rPr>
          <w:b/>
        </w:rPr>
      </w:pPr>
      <w:r>
        <w:rPr>
          <w:b/>
        </w:rPr>
        <w:t xml:space="preserve">Note: If cell counts are low, age groups will be collapsed </w:t>
      </w:r>
    </w:p>
    <w:p w14:paraId="5FDC0960" w14:textId="77777777" w:rsidR="00203D2A" w:rsidRPr="00B91F53" w:rsidRDefault="00203D2A" w:rsidP="00203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</w:rPr>
      </w:pPr>
      <w:r w:rsidRPr="00B91F53">
        <w:rPr>
          <w:b/>
          <w:sz w:val="24"/>
        </w:rPr>
        <w:t>ANTI-INFECTIVES</w:t>
      </w:r>
    </w:p>
    <w:p w14:paraId="176089BC" w14:textId="6977D56A" w:rsidR="00203D2A" w:rsidRPr="007C0D3B" w:rsidRDefault="007C0D3B" w:rsidP="00203D2A">
      <w:r>
        <w:rPr>
          <w:b/>
        </w:rPr>
        <w:t>Note:</w:t>
      </w:r>
      <w:r>
        <w:t xml:space="preserve"> </w:t>
      </w:r>
      <w:r w:rsidR="000F4F47">
        <w:t xml:space="preserve">When </w:t>
      </w:r>
      <w:r w:rsidR="002925FC" w:rsidRPr="002925FC">
        <w:t xml:space="preserve">2 or more prescriptions </w:t>
      </w:r>
      <w:r w:rsidR="002925FC">
        <w:t>a</w:t>
      </w:r>
      <w:r w:rsidR="002925FC" w:rsidRPr="002925FC">
        <w:t xml:space="preserve">re redeemed with ≤14 day’s interval, we </w:t>
      </w:r>
      <w:r w:rsidR="002925FC">
        <w:t xml:space="preserve">will count </w:t>
      </w:r>
      <w:r w:rsidR="002925FC" w:rsidRPr="002925FC">
        <w:t>them as 1 treatment episode. Th</w:t>
      </w:r>
      <w:r w:rsidR="002925FC">
        <w:t xml:space="preserve">e last antibiotic prescribed in this interval will be used in the analysis – it is assumed this is </w:t>
      </w:r>
      <w:r w:rsidR="00520877">
        <w:t>the appropriate antibiotic to treat the infection</w:t>
      </w:r>
      <w:r w:rsidR="00E65CDB">
        <w:t xml:space="preserve">. </w:t>
      </w:r>
    </w:p>
    <w:p w14:paraId="0F2141E0" w14:textId="77777777" w:rsidR="00203D2A" w:rsidRPr="00B91F53" w:rsidRDefault="00203D2A" w:rsidP="00203D2A">
      <w:r w:rsidRPr="00B91F53">
        <w:t>The anti-infective categories used in the below tables are:</w:t>
      </w:r>
    </w:p>
    <w:p w14:paraId="09E8DA96" w14:textId="77777777" w:rsidR="00203D2A" w:rsidRPr="00B91F53" w:rsidRDefault="00203D2A" w:rsidP="007538D5">
      <w:pPr>
        <w:numPr>
          <w:ilvl w:val="0"/>
          <w:numId w:val="3"/>
        </w:numPr>
        <w:spacing w:after="240"/>
        <w:contextualSpacing/>
      </w:pPr>
      <w:r w:rsidRPr="00B91F53">
        <w:t>Any anti-infective (J01-J05)</w:t>
      </w:r>
    </w:p>
    <w:p w14:paraId="45166669" w14:textId="77777777" w:rsidR="00203D2A" w:rsidRPr="00B91F53" w:rsidRDefault="00203D2A" w:rsidP="007538D5">
      <w:pPr>
        <w:numPr>
          <w:ilvl w:val="0"/>
          <w:numId w:val="3"/>
        </w:numPr>
        <w:spacing w:after="240"/>
        <w:ind w:left="1080"/>
        <w:contextualSpacing/>
      </w:pPr>
      <w:r w:rsidRPr="00B91F53">
        <w:t>Antibacterials for systemic use (J01)</w:t>
      </w:r>
    </w:p>
    <w:p w14:paraId="16EF9131" w14:textId="77777777" w:rsidR="00203D2A" w:rsidRPr="00B91F53" w:rsidRDefault="00203D2A" w:rsidP="007538D5">
      <w:pPr>
        <w:numPr>
          <w:ilvl w:val="1"/>
          <w:numId w:val="3"/>
        </w:numPr>
        <w:spacing w:after="240"/>
        <w:contextualSpacing/>
      </w:pPr>
      <w:r w:rsidRPr="00B91F53">
        <w:t>Amphenicols (J01B)</w:t>
      </w:r>
    </w:p>
    <w:p w14:paraId="7FA1CCE1" w14:textId="7616B375" w:rsidR="00203D2A" w:rsidRPr="00B91F53" w:rsidRDefault="00203D2A" w:rsidP="007538D5">
      <w:pPr>
        <w:numPr>
          <w:ilvl w:val="1"/>
          <w:numId w:val="3"/>
        </w:numPr>
        <w:spacing w:after="240"/>
        <w:contextualSpacing/>
      </w:pPr>
      <w:r w:rsidRPr="00B91F53">
        <w:t xml:space="preserve">Beta-lactam antibacterials, </w:t>
      </w:r>
      <w:r w:rsidR="00D224D7" w:rsidRPr="00B91F53">
        <w:t>penicillin’s</w:t>
      </w:r>
      <w:r w:rsidRPr="00B91F53">
        <w:t xml:space="preserve"> (J01C)</w:t>
      </w:r>
    </w:p>
    <w:p w14:paraId="467767A1" w14:textId="77777777" w:rsidR="00203D2A" w:rsidRPr="00B91F53" w:rsidRDefault="00203D2A" w:rsidP="007538D5">
      <w:pPr>
        <w:numPr>
          <w:ilvl w:val="1"/>
          <w:numId w:val="3"/>
        </w:numPr>
        <w:spacing w:after="240"/>
        <w:contextualSpacing/>
      </w:pPr>
      <w:r w:rsidRPr="00B91F53">
        <w:t>Sulfonamides and Trimethoprim (J01E)</w:t>
      </w:r>
    </w:p>
    <w:p w14:paraId="6DCF54B1" w14:textId="77777777" w:rsidR="00203D2A" w:rsidRPr="00B91F53" w:rsidRDefault="00203D2A" w:rsidP="007538D5">
      <w:pPr>
        <w:numPr>
          <w:ilvl w:val="1"/>
          <w:numId w:val="3"/>
        </w:numPr>
        <w:spacing w:after="240"/>
        <w:contextualSpacing/>
      </w:pPr>
      <w:r w:rsidRPr="00B91F53">
        <w:t>Macrolides, Lincosamides and Streptogramins (J01F)</w:t>
      </w:r>
    </w:p>
    <w:p w14:paraId="48164C19" w14:textId="77777777" w:rsidR="00203D2A" w:rsidRPr="00B91F53" w:rsidRDefault="00203D2A" w:rsidP="007538D5">
      <w:pPr>
        <w:numPr>
          <w:ilvl w:val="1"/>
          <w:numId w:val="3"/>
        </w:numPr>
        <w:spacing w:after="240"/>
        <w:contextualSpacing/>
      </w:pPr>
      <w:r w:rsidRPr="00B91F53">
        <w:t>Quinolone antibacterials (J01M)</w:t>
      </w:r>
    </w:p>
    <w:p w14:paraId="1A72493B" w14:textId="77777777" w:rsidR="00203D2A" w:rsidRPr="00B91F53" w:rsidRDefault="00203D2A" w:rsidP="007538D5">
      <w:pPr>
        <w:numPr>
          <w:ilvl w:val="1"/>
          <w:numId w:val="3"/>
        </w:numPr>
        <w:spacing w:after="240"/>
        <w:contextualSpacing/>
      </w:pPr>
      <w:r w:rsidRPr="00B91F53">
        <w:t>Other antibacterials (J01X)</w:t>
      </w:r>
    </w:p>
    <w:p w14:paraId="2D70105C" w14:textId="3033ACD6" w:rsidR="00203D2A" w:rsidRPr="00B91F53" w:rsidRDefault="00A94446" w:rsidP="007538D5">
      <w:pPr>
        <w:numPr>
          <w:ilvl w:val="0"/>
          <w:numId w:val="3"/>
        </w:numPr>
        <w:spacing w:after="240"/>
        <w:contextualSpacing/>
      </w:pPr>
      <w:r>
        <w:t>A</w:t>
      </w:r>
      <w:r w:rsidR="00203D2A" w:rsidRPr="00B91F53">
        <w:t>ntimycotic for systemic use (J02)</w:t>
      </w:r>
    </w:p>
    <w:p w14:paraId="3F306E8A" w14:textId="430DB8A3" w:rsidR="00203D2A" w:rsidRPr="00B91F53" w:rsidRDefault="00A94446" w:rsidP="007538D5">
      <w:pPr>
        <w:numPr>
          <w:ilvl w:val="0"/>
          <w:numId w:val="3"/>
        </w:numPr>
        <w:spacing w:after="240"/>
        <w:contextualSpacing/>
      </w:pPr>
      <w:r>
        <w:t>A</w:t>
      </w:r>
      <w:r w:rsidR="00203D2A" w:rsidRPr="00B91F53">
        <w:t>ntimycobacterials (J04)</w:t>
      </w:r>
    </w:p>
    <w:p w14:paraId="400D8B29" w14:textId="77777777" w:rsidR="00203D2A" w:rsidRDefault="00203D2A" w:rsidP="007538D5">
      <w:pPr>
        <w:numPr>
          <w:ilvl w:val="0"/>
          <w:numId w:val="3"/>
        </w:numPr>
        <w:spacing w:after="240"/>
        <w:contextualSpacing/>
      </w:pPr>
      <w:r w:rsidRPr="00B91F53">
        <w:t>Antivirals for systemic use (J05)</w:t>
      </w:r>
    </w:p>
    <w:p w14:paraId="62A0745E" w14:textId="77777777" w:rsidR="00203D2A" w:rsidRDefault="00203D2A" w:rsidP="00203D2A">
      <w:pPr>
        <w:spacing w:after="240"/>
        <w:contextualSpacing/>
      </w:pPr>
    </w:p>
    <w:p w14:paraId="658D5D26" w14:textId="7DB5F38C" w:rsidR="00203D2A" w:rsidRPr="00B91F53" w:rsidRDefault="004E3FB4" w:rsidP="004E3FB4">
      <w:pPr>
        <w:spacing w:after="240" w:line="256" w:lineRule="auto"/>
      </w:pPr>
      <w:bookmarkStart w:id="3" w:name="_Hlk534622234"/>
      <w:bookmarkStart w:id="4" w:name="_Hlk534622779"/>
      <w:r w:rsidRPr="00B374D3">
        <w:t xml:space="preserve">Table 2 </w:t>
      </w:r>
      <w:r w:rsidR="00203D2A" w:rsidRPr="00B374D3">
        <w:t>a-</w:t>
      </w:r>
      <w:r w:rsidR="00294597">
        <w:t>i</w:t>
      </w:r>
      <w:r w:rsidR="00B374D3" w:rsidRPr="00B374D3">
        <w:t xml:space="preserve"> </w:t>
      </w:r>
      <w:r w:rsidR="00203D2A" w:rsidRPr="00B374D3">
        <w:t>Number</w:t>
      </w:r>
      <w:r w:rsidR="00203D2A" w:rsidRPr="00B91F53">
        <w:t xml:space="preserve"> of </w:t>
      </w:r>
      <w:r w:rsidR="00203D2A">
        <w:t xml:space="preserve">children with a prescription (can be used with table 1 to calculate period prevalence), number of </w:t>
      </w:r>
      <w:r w:rsidR="00203D2A" w:rsidRPr="00B91F53">
        <w:t xml:space="preserve">prescriptions </w:t>
      </w:r>
      <w:r w:rsidR="00203D2A">
        <w:t xml:space="preserve">per person-year (annual prescription rate) </w:t>
      </w:r>
      <w:r w:rsidR="00203D2A" w:rsidRPr="00B91F53">
        <w:t xml:space="preserve">and median and </w:t>
      </w:r>
      <w:r w:rsidR="004D5800">
        <w:t>95% CI</w:t>
      </w:r>
      <w:r w:rsidR="00203D2A" w:rsidRPr="00B91F53">
        <w:t xml:space="preserve"> number of prescriptions per person-year</w:t>
      </w:r>
      <w:r w:rsidR="00203D2A" w:rsidRPr="00B91F53">
        <w:rPr>
          <w:b/>
        </w:rPr>
        <w:t xml:space="preserve"> </w:t>
      </w:r>
      <w:r w:rsidR="00203D2A" w:rsidRPr="00B91F53">
        <w:t>for a</w:t>
      </w:r>
      <w:r w:rsidR="00FD1FE7">
        <w:t xml:space="preserve"> J01</w:t>
      </w:r>
      <w:r w:rsidR="00203D2A" w:rsidRPr="00B91F53">
        <w:t xml:space="preserve"> anti-infective medication (above categories) across risk factors by age at prescription (&lt;1 years, 1-4 years and 5-9 years of age). </w:t>
      </w:r>
      <w:r w:rsidR="00A2351E" w:rsidRPr="00A2351E">
        <w:t xml:space="preserve"> </w:t>
      </w:r>
      <w:r w:rsidR="00A2351E">
        <w:t xml:space="preserve">For the </w:t>
      </w:r>
      <w:r w:rsidR="00FD1FE7">
        <w:t>drug groups J02, J04 and J05</w:t>
      </w:r>
      <w:r w:rsidR="00A2351E">
        <w:t>, only the number of children with a prescription by age at prescription (&lt;1 years, 1-4 years and 5-9 years of age) will be examined.</w:t>
      </w:r>
    </w:p>
    <w:bookmarkEnd w:id="3"/>
    <w:bookmarkEnd w:id="4"/>
    <w:p w14:paraId="7B3B66EC" w14:textId="0EB0CC49" w:rsidR="00203D2A" w:rsidRDefault="00B374D3" w:rsidP="00B374D3">
      <w:pPr>
        <w:spacing w:after="240"/>
      </w:pPr>
      <w:r>
        <w:t xml:space="preserve">Table 3 </w:t>
      </w:r>
      <w:r w:rsidR="00203D2A" w:rsidRPr="00B91F53">
        <w:t>A-</w:t>
      </w:r>
      <w:r w:rsidR="00F57999">
        <w:t>C</w:t>
      </w:r>
      <w:r w:rsidR="00203D2A" w:rsidRPr="00B91F53">
        <w:t xml:space="preserve"> Cumulative incidence (1-Kaplan-Meier survival estimate) of at least one prescription for an anti-infective medication (by categories) for cases and co</w:t>
      </w:r>
      <w:r w:rsidR="00F57999">
        <w:t xml:space="preserve">ntrols a) &lt;1 year; b) 1-4 years and </w:t>
      </w:r>
      <w:r w:rsidR="00203D2A" w:rsidRPr="00B91F53">
        <w:t xml:space="preserve">c) 5-9 years.  </w:t>
      </w:r>
    </w:p>
    <w:p w14:paraId="3FB33D2C" w14:textId="77777777" w:rsidR="00392FD9" w:rsidRDefault="00392FD9" w:rsidP="00392FD9">
      <w:pPr>
        <w:spacing w:after="240"/>
      </w:pPr>
    </w:p>
    <w:p w14:paraId="35B44DB4" w14:textId="372F79D6" w:rsidR="00134421" w:rsidRPr="00856C6A" w:rsidRDefault="0030513A" w:rsidP="00856C6A">
      <w:pPr>
        <w:pStyle w:val="Heading1"/>
      </w:pPr>
      <w:r w:rsidRPr="0030513A">
        <w:t>ASTHMA</w:t>
      </w:r>
      <w:r w:rsidR="00134421" w:rsidRPr="0030513A">
        <w:t xml:space="preserve">  </w:t>
      </w:r>
    </w:p>
    <w:p w14:paraId="7199FD8A" w14:textId="6FD2943E" w:rsidR="00134421" w:rsidRPr="0030513A" w:rsidRDefault="00134421" w:rsidP="00DC108C">
      <w:r w:rsidRPr="0030513A">
        <w:t xml:space="preserve">The medication categories </w:t>
      </w:r>
      <w:r w:rsidR="00DC108C" w:rsidRPr="0030513A">
        <w:t xml:space="preserve">to be </w:t>
      </w:r>
      <w:r w:rsidRPr="0030513A">
        <w:t xml:space="preserve">used </w:t>
      </w:r>
      <w:r w:rsidR="00BD7B64" w:rsidRPr="0030513A">
        <w:t>are</w:t>
      </w:r>
      <w:r w:rsidRPr="0030513A">
        <w:t xml:space="preserve">: </w:t>
      </w:r>
    </w:p>
    <w:p w14:paraId="2D37F1C4" w14:textId="18B4CC2F" w:rsidR="000B68F8" w:rsidRPr="0030513A" w:rsidRDefault="00134421" w:rsidP="007538D5">
      <w:pPr>
        <w:pStyle w:val="ListParagraph"/>
        <w:numPr>
          <w:ilvl w:val="0"/>
          <w:numId w:val="5"/>
        </w:numPr>
      </w:pPr>
      <w:bookmarkStart w:id="5" w:name="_Hlk4578423"/>
      <w:r w:rsidRPr="0030513A">
        <w:t>Any asthma medication (R03)</w:t>
      </w:r>
    </w:p>
    <w:p w14:paraId="14038F97" w14:textId="77777777" w:rsidR="00134421" w:rsidRPr="0030513A" w:rsidRDefault="00134421" w:rsidP="007538D5">
      <w:pPr>
        <w:pStyle w:val="ListParagraph"/>
        <w:numPr>
          <w:ilvl w:val="1"/>
          <w:numId w:val="5"/>
        </w:numPr>
      </w:pPr>
      <w:r w:rsidRPr="0030513A">
        <w:t>Inhaled β2- agonists (R03AC)</w:t>
      </w:r>
    </w:p>
    <w:p w14:paraId="217F35F7" w14:textId="77777777" w:rsidR="00134421" w:rsidRPr="0030513A" w:rsidRDefault="00134421" w:rsidP="007538D5">
      <w:pPr>
        <w:pStyle w:val="ListParagraph"/>
        <w:numPr>
          <w:ilvl w:val="1"/>
          <w:numId w:val="5"/>
        </w:numPr>
      </w:pPr>
      <w:r w:rsidRPr="0030513A">
        <w:t>Inhaled corticosteroids (R03BA)</w:t>
      </w:r>
    </w:p>
    <w:p w14:paraId="28461069" w14:textId="57349626" w:rsidR="00134421" w:rsidRPr="0030513A" w:rsidRDefault="00134421" w:rsidP="007538D5">
      <w:pPr>
        <w:pStyle w:val="ListParagraph"/>
        <w:numPr>
          <w:ilvl w:val="1"/>
          <w:numId w:val="5"/>
        </w:numPr>
      </w:pPr>
      <w:r w:rsidRPr="0030513A">
        <w:t xml:space="preserve">Anticholinergic inhaled medications (R03BB) </w:t>
      </w:r>
    </w:p>
    <w:p w14:paraId="22F05128" w14:textId="203F62FD" w:rsidR="00134421" w:rsidRPr="0030513A" w:rsidRDefault="00DC108C" w:rsidP="007538D5">
      <w:pPr>
        <w:pStyle w:val="ListParagraph"/>
        <w:numPr>
          <w:ilvl w:val="1"/>
          <w:numId w:val="5"/>
        </w:numPr>
      </w:pPr>
      <w:r w:rsidRPr="0030513A">
        <w:t>Antiallergic agents, excl. corticosteroids</w:t>
      </w:r>
      <w:r w:rsidR="00134421" w:rsidRPr="0030513A">
        <w:t xml:space="preserve"> (R03BC) </w:t>
      </w:r>
    </w:p>
    <w:p w14:paraId="78662A2B" w14:textId="57913A1C" w:rsidR="00134421" w:rsidRPr="0030513A" w:rsidRDefault="00DC108C" w:rsidP="007538D5">
      <w:pPr>
        <w:pStyle w:val="ListParagraph"/>
        <w:numPr>
          <w:ilvl w:val="1"/>
          <w:numId w:val="5"/>
        </w:numPr>
      </w:pPr>
      <w:r w:rsidRPr="0030513A">
        <w:t xml:space="preserve">Xanthanes </w:t>
      </w:r>
      <w:r w:rsidR="00134421" w:rsidRPr="0030513A">
        <w:t>(R03DA)</w:t>
      </w:r>
    </w:p>
    <w:p w14:paraId="026CAE22" w14:textId="77777777" w:rsidR="00134421" w:rsidRPr="0030513A" w:rsidRDefault="00134421" w:rsidP="007538D5">
      <w:pPr>
        <w:pStyle w:val="ListParagraph"/>
        <w:numPr>
          <w:ilvl w:val="1"/>
          <w:numId w:val="5"/>
        </w:numPr>
      </w:pPr>
      <w:bookmarkStart w:id="6" w:name="_Hlk4580740"/>
      <w:r w:rsidRPr="0030513A">
        <w:t xml:space="preserve">Leukotriene receptor antagonists (R03DC) </w:t>
      </w:r>
    </w:p>
    <w:bookmarkEnd w:id="5"/>
    <w:bookmarkEnd w:id="6"/>
    <w:p w14:paraId="18C3E80C" w14:textId="216FF44D" w:rsidR="00134421" w:rsidRPr="0030513A" w:rsidRDefault="00A94446" w:rsidP="00E735FE">
      <w:pPr>
        <w:rPr>
          <w:b/>
        </w:rPr>
      </w:pPr>
      <w:r>
        <w:rPr>
          <w:b/>
        </w:rPr>
        <w:t xml:space="preserve">Note: We will not analyse the number of prescriptions for anti-asthmatics </w:t>
      </w:r>
      <w:r w:rsidR="00F731FD">
        <w:rPr>
          <w:b/>
        </w:rPr>
        <w:t>as treatment varies from occasional use to daily use)</w:t>
      </w:r>
      <w:r w:rsidR="002E2204">
        <w:rPr>
          <w:b/>
        </w:rPr>
        <w:t xml:space="preserve">. The below tables are based on at least two prescriptions </w:t>
      </w:r>
      <w:r w:rsidR="00FD1FE7">
        <w:rPr>
          <w:b/>
        </w:rPr>
        <w:t>for an</w:t>
      </w:r>
      <w:r w:rsidR="002E2204">
        <w:rPr>
          <w:b/>
        </w:rPr>
        <w:t xml:space="preserve"> </w:t>
      </w:r>
      <w:r w:rsidR="00FD6EC8">
        <w:rPr>
          <w:b/>
        </w:rPr>
        <w:t xml:space="preserve">R03 medication </w:t>
      </w:r>
      <w:r w:rsidR="00FD1FE7">
        <w:rPr>
          <w:b/>
        </w:rPr>
        <w:t xml:space="preserve">as these children are more likely to have </w:t>
      </w:r>
      <w:r w:rsidR="000A526C">
        <w:rPr>
          <w:b/>
        </w:rPr>
        <w:t>asthma</w:t>
      </w:r>
      <w:r w:rsidR="00936340">
        <w:rPr>
          <w:b/>
        </w:rPr>
        <w:t xml:space="preserve">. </w:t>
      </w:r>
    </w:p>
    <w:p w14:paraId="5E82761F" w14:textId="76221FDA" w:rsidR="00492BA9" w:rsidRPr="00A0676A" w:rsidRDefault="00D37E7C" w:rsidP="00D37E7C">
      <w:pPr>
        <w:spacing w:after="240"/>
        <w:rPr>
          <w:rStyle w:val="CommentReference"/>
          <w:sz w:val="22"/>
          <w:szCs w:val="22"/>
        </w:rPr>
      </w:pPr>
      <w:bookmarkStart w:id="7" w:name="_Hlk3277913"/>
      <w:bookmarkStart w:id="8" w:name="_Hlk534617426"/>
      <w:r>
        <w:t xml:space="preserve">Table </w:t>
      </w:r>
      <w:r w:rsidR="004F7EE1">
        <w:t xml:space="preserve">1 </w:t>
      </w:r>
      <w:r w:rsidR="0048125E" w:rsidRPr="00AD3A79">
        <w:t>a-</w:t>
      </w:r>
      <w:r w:rsidR="001B4BA8">
        <w:t>g</w:t>
      </w:r>
      <w:r w:rsidR="0048125E" w:rsidRPr="00AD3A79">
        <w:t xml:space="preserve"> Number of children with </w:t>
      </w:r>
      <w:r w:rsidR="009278F0" w:rsidRPr="00AD3A79">
        <w:t>a</w:t>
      </w:r>
      <w:r w:rsidR="009278F0">
        <w:t>t least two</w:t>
      </w:r>
      <w:r w:rsidR="009278F0" w:rsidRPr="00AD3A79">
        <w:t xml:space="preserve"> prescription</w:t>
      </w:r>
      <w:r w:rsidR="009278F0">
        <w:t>s</w:t>
      </w:r>
      <w:r w:rsidR="0048125E" w:rsidRPr="00AD3A79">
        <w:t xml:space="preserve"> (can be used with table 1 to calculate period prevalence), for an </w:t>
      </w:r>
      <w:r w:rsidR="00B46E15" w:rsidRPr="00AD3A79">
        <w:t>anti-asthmatic</w:t>
      </w:r>
      <w:r w:rsidR="0048125E" w:rsidRPr="00AD3A79">
        <w:t xml:space="preserve"> medication (above </w:t>
      </w:r>
      <w:r w:rsidR="0048125E" w:rsidRPr="00271592">
        <w:t>categories) across risk factors by age at prescription (</w:t>
      </w:r>
      <w:r w:rsidR="00492BA9">
        <w:t>0</w:t>
      </w:r>
      <w:r w:rsidR="0048125E" w:rsidRPr="00271592">
        <w:t>-4 years and 5-9 years of age).</w:t>
      </w:r>
      <w:bookmarkStart w:id="9" w:name="_Hlk19530601"/>
      <w:r w:rsidR="00FB7B72">
        <w:t xml:space="preserve"> </w:t>
      </w:r>
      <w:r w:rsidR="00D06BF4">
        <w:t xml:space="preserve">0-4 years used as asthma is difficult to diagnose </w:t>
      </w:r>
      <w:r w:rsidR="00DF669F">
        <w:t>&lt;1</w:t>
      </w:r>
      <w:r w:rsidR="00D06BF4">
        <w:t>.</w:t>
      </w:r>
      <w:r w:rsidR="00D06BF4" w:rsidDel="00D06BF4">
        <w:rPr>
          <w:rStyle w:val="CommentReference"/>
        </w:rPr>
        <w:t xml:space="preserve"> </w:t>
      </w:r>
    </w:p>
    <w:bookmarkEnd w:id="9"/>
    <w:p w14:paraId="3B0023D0" w14:textId="4B262A82" w:rsidR="00DF669F" w:rsidRDefault="004F7EE1" w:rsidP="004F7EE1">
      <w:r>
        <w:t>Table 2</w:t>
      </w:r>
      <w:r w:rsidR="00D06BF4" w:rsidRPr="00AD3A79" w:rsidDel="00BC3AB9">
        <w:t xml:space="preserve"> </w:t>
      </w:r>
      <w:r w:rsidR="0048125E" w:rsidRPr="00271592">
        <w:t>A-</w:t>
      </w:r>
      <w:r w:rsidR="00FB7D2D">
        <w:t>B</w:t>
      </w:r>
      <w:r w:rsidR="0048125E" w:rsidRPr="00271592">
        <w:t xml:space="preserve"> Cumulative incidence (1-Kaplan-Meier survival estimate) of </w:t>
      </w:r>
      <w:r w:rsidR="00BC3AB9" w:rsidRPr="00AD3A79">
        <w:t>a</w:t>
      </w:r>
      <w:r w:rsidR="00BC3AB9">
        <w:t>t least two</w:t>
      </w:r>
      <w:r w:rsidR="00BC3AB9" w:rsidRPr="00AD3A79">
        <w:t xml:space="preserve"> prescription</w:t>
      </w:r>
      <w:r w:rsidR="00BC3AB9">
        <w:t>s</w:t>
      </w:r>
      <w:r w:rsidR="00BC3AB9" w:rsidRPr="00AD3A79">
        <w:t xml:space="preserve"> </w:t>
      </w:r>
      <w:r w:rsidR="0048125E" w:rsidRPr="00271592">
        <w:t xml:space="preserve">for an </w:t>
      </w:r>
      <w:r w:rsidR="00B46E15" w:rsidRPr="00271592">
        <w:t xml:space="preserve">anti-asthmatic medication </w:t>
      </w:r>
      <w:r w:rsidR="0048125E" w:rsidRPr="00271592">
        <w:t xml:space="preserve">(by categories) for cases and controls a) </w:t>
      </w:r>
      <w:r w:rsidR="003821FB">
        <w:t xml:space="preserve">0-4 </w:t>
      </w:r>
      <w:r w:rsidR="0048125E" w:rsidRPr="00271592">
        <w:t>year</w:t>
      </w:r>
      <w:r w:rsidR="003821FB">
        <w:t>s</w:t>
      </w:r>
      <w:r w:rsidR="0048125E" w:rsidRPr="00271592">
        <w:t xml:space="preserve">; b) 5-9 years.  </w:t>
      </w:r>
      <w:r w:rsidR="00DF669F" w:rsidRPr="00DF669F">
        <w:t xml:space="preserve">0-4 years used as asthma is difficult to diagnose &lt;1. </w:t>
      </w:r>
    </w:p>
    <w:bookmarkEnd w:id="0"/>
    <w:bookmarkEnd w:id="7"/>
    <w:bookmarkEnd w:id="8"/>
    <w:p w14:paraId="2668D859" w14:textId="77777777" w:rsidR="005D5985" w:rsidRPr="0030513A" w:rsidRDefault="005D5985" w:rsidP="003C78D3"/>
    <w:p w14:paraId="14CD9950" w14:textId="03A091BA" w:rsidR="00013B19" w:rsidRPr="0030513A" w:rsidRDefault="0030513A" w:rsidP="0030513A">
      <w:pPr>
        <w:pStyle w:val="Heading1"/>
      </w:pPr>
      <w:r w:rsidRPr="0030513A">
        <w:t>CARDIAC</w:t>
      </w:r>
    </w:p>
    <w:p w14:paraId="43BE60DA" w14:textId="35344342" w:rsidR="00432DD7" w:rsidRPr="000715B3" w:rsidRDefault="000715B3" w:rsidP="00052803">
      <w:pPr>
        <w:rPr>
          <w:b/>
        </w:rPr>
      </w:pPr>
      <w:r>
        <w:rPr>
          <w:b/>
        </w:rPr>
        <w:t>Note: the exploration of the use of cardiac medications will be restricted to controls</w:t>
      </w:r>
      <w:r w:rsidR="0029586A">
        <w:rPr>
          <w:b/>
        </w:rPr>
        <w:t xml:space="preserve">, </w:t>
      </w:r>
      <w:r w:rsidR="00525690">
        <w:rPr>
          <w:b/>
        </w:rPr>
        <w:t xml:space="preserve">cardiac anomalies, Down syndrome with CHD, Turner syndrome and Di George syndrome. </w:t>
      </w:r>
    </w:p>
    <w:p w14:paraId="599C7F5C" w14:textId="6AE08E42" w:rsidR="0083579B" w:rsidRPr="0030513A" w:rsidRDefault="0083579B" w:rsidP="00052803">
      <w:r w:rsidRPr="0030513A">
        <w:t>The cardiac medication categories to be used in the below tables are:</w:t>
      </w:r>
    </w:p>
    <w:p w14:paraId="164BDEBD" w14:textId="77777777" w:rsidR="0083579B" w:rsidRPr="0030513A" w:rsidRDefault="0083579B" w:rsidP="007538D5">
      <w:pPr>
        <w:pStyle w:val="ListParagraph"/>
        <w:numPr>
          <w:ilvl w:val="0"/>
          <w:numId w:val="3"/>
        </w:numPr>
      </w:pPr>
      <w:r w:rsidRPr="0030513A">
        <w:t>Any cardiac medication (ATC C)</w:t>
      </w:r>
    </w:p>
    <w:p w14:paraId="675C14FB" w14:textId="77777777" w:rsidR="0083579B" w:rsidRPr="0030513A" w:rsidRDefault="0083579B" w:rsidP="007538D5">
      <w:pPr>
        <w:pStyle w:val="ListParagraph"/>
        <w:numPr>
          <w:ilvl w:val="1"/>
          <w:numId w:val="3"/>
        </w:numPr>
      </w:pPr>
      <w:r w:rsidRPr="0030513A">
        <w:t>Cardiac therapy (C01)</w:t>
      </w:r>
    </w:p>
    <w:p w14:paraId="2E2D8DAC" w14:textId="77777777" w:rsidR="00DC0521" w:rsidRDefault="0083579B" w:rsidP="007538D5">
      <w:pPr>
        <w:pStyle w:val="ListParagraph"/>
        <w:numPr>
          <w:ilvl w:val="1"/>
          <w:numId w:val="3"/>
        </w:numPr>
      </w:pPr>
      <w:r w:rsidRPr="0030513A">
        <w:t>Antihypertensives (C02)</w:t>
      </w:r>
      <w:r w:rsidR="00F50FD8" w:rsidRPr="00EB43B0">
        <w:t xml:space="preserve"> excluding all central </w:t>
      </w:r>
      <w:r w:rsidR="00F50FD8" w:rsidRPr="00EB43B0">
        <w:rPr>
          <w:rFonts w:hint="eastAsia"/>
        </w:rPr>
        <w:t>α</w:t>
      </w:r>
      <w:r w:rsidR="00F50FD8" w:rsidRPr="00EB43B0">
        <w:t>-blockers (C02AC) e.g. clonidine C02AC01/ C02AC02 guanfacine) because of their use in ADHD</w:t>
      </w:r>
    </w:p>
    <w:p w14:paraId="31343AE2" w14:textId="6B8A2801" w:rsidR="0083579B" w:rsidRPr="0030513A" w:rsidRDefault="0083579B" w:rsidP="007538D5">
      <w:pPr>
        <w:pStyle w:val="ListParagraph"/>
        <w:numPr>
          <w:ilvl w:val="1"/>
          <w:numId w:val="3"/>
        </w:numPr>
      </w:pPr>
      <w:r w:rsidRPr="0030513A">
        <w:t>Diuretics (C03)</w:t>
      </w:r>
    </w:p>
    <w:p w14:paraId="4415B588" w14:textId="77777777" w:rsidR="0083579B" w:rsidRPr="0030513A" w:rsidRDefault="0083579B" w:rsidP="007538D5">
      <w:pPr>
        <w:pStyle w:val="ListParagraph"/>
        <w:numPr>
          <w:ilvl w:val="1"/>
          <w:numId w:val="3"/>
        </w:numPr>
      </w:pPr>
      <w:r w:rsidRPr="0030513A">
        <w:t>Beta blocking agents (C07)</w:t>
      </w:r>
    </w:p>
    <w:p w14:paraId="349C161A" w14:textId="77777777" w:rsidR="0083579B" w:rsidRPr="0030513A" w:rsidRDefault="0083579B" w:rsidP="007538D5">
      <w:pPr>
        <w:pStyle w:val="ListParagraph"/>
        <w:numPr>
          <w:ilvl w:val="1"/>
          <w:numId w:val="3"/>
        </w:numPr>
      </w:pPr>
      <w:r w:rsidRPr="0030513A">
        <w:t>Calcium Channel Blockers (C08)</w:t>
      </w:r>
    </w:p>
    <w:p w14:paraId="7E185E64" w14:textId="79D565AB" w:rsidR="0083579B" w:rsidRPr="0030513A" w:rsidRDefault="0083579B" w:rsidP="007538D5">
      <w:pPr>
        <w:pStyle w:val="ListParagraph"/>
        <w:numPr>
          <w:ilvl w:val="1"/>
          <w:numId w:val="3"/>
        </w:numPr>
      </w:pPr>
      <w:r w:rsidRPr="0030513A">
        <w:t>Agents acting on the renin-angiotensin system (C09)</w:t>
      </w:r>
    </w:p>
    <w:p w14:paraId="1517EE6F" w14:textId="5CDD5815" w:rsidR="000715B3" w:rsidRPr="006831A5" w:rsidRDefault="000715B3" w:rsidP="007538D5">
      <w:pPr>
        <w:numPr>
          <w:ilvl w:val="0"/>
          <w:numId w:val="11"/>
        </w:numPr>
        <w:spacing w:after="240"/>
      </w:pPr>
      <w:bookmarkStart w:id="10" w:name="_Hlk4679116"/>
      <w:r w:rsidRPr="00FC52AB">
        <w:t>a-</w:t>
      </w:r>
      <w:r w:rsidR="00696680" w:rsidRPr="00FC52AB">
        <w:t>g</w:t>
      </w:r>
      <w:r w:rsidRPr="00FC52AB">
        <w:t xml:space="preserve"> Number of children with a prescription (can be used with table 1 to calculate period prevalence for </w:t>
      </w:r>
      <w:r w:rsidR="00FC52AB" w:rsidRPr="00FC52AB">
        <w:t>a cardiac</w:t>
      </w:r>
      <w:r w:rsidRPr="00FC52AB">
        <w:t xml:space="preserve"> medication (above categories) across </w:t>
      </w:r>
      <w:r w:rsidRPr="006831A5">
        <w:t xml:space="preserve">risk factors by age at prescription (&lt;1 years, 1-4 years and 5-9 years of age). </w:t>
      </w:r>
    </w:p>
    <w:p w14:paraId="4CE80EE3" w14:textId="289E2ED2" w:rsidR="007B2265" w:rsidRDefault="000715B3" w:rsidP="007538D5">
      <w:pPr>
        <w:numPr>
          <w:ilvl w:val="0"/>
          <w:numId w:val="11"/>
        </w:numPr>
        <w:spacing w:after="240"/>
      </w:pPr>
      <w:r w:rsidRPr="006831A5">
        <w:t>A-</w:t>
      </w:r>
      <w:r w:rsidR="00E45F34">
        <w:t>B</w:t>
      </w:r>
      <w:r w:rsidR="00E45F34" w:rsidRPr="006831A5">
        <w:t xml:space="preserve"> </w:t>
      </w:r>
      <w:r w:rsidRPr="006831A5">
        <w:t xml:space="preserve">Cumulative incidence (1-Kaplan-Meier survival estimate) of at least one prescription for </w:t>
      </w:r>
      <w:r w:rsidR="00EC5C30" w:rsidRPr="006831A5">
        <w:t>a cardiac</w:t>
      </w:r>
      <w:r w:rsidRPr="006831A5">
        <w:t xml:space="preserve"> medication (by categories) for ca</w:t>
      </w:r>
      <w:r w:rsidR="006831A5" w:rsidRPr="006831A5">
        <w:t xml:space="preserve">ses </w:t>
      </w:r>
      <w:r w:rsidRPr="006831A5">
        <w:t>and controls a) &lt;1 year; b) 1-4 years</w:t>
      </w:r>
      <w:r w:rsidR="00F57999">
        <w:t xml:space="preserve"> and</w:t>
      </w:r>
      <w:r w:rsidRPr="006831A5">
        <w:t xml:space="preserve"> c) 5-9 years.  </w:t>
      </w:r>
    </w:p>
    <w:p w14:paraId="607E4B9D" w14:textId="77777777" w:rsidR="00CF3417" w:rsidRDefault="00CF3417" w:rsidP="00CF3417">
      <w:pPr>
        <w:spacing w:after="240"/>
      </w:pPr>
    </w:p>
    <w:bookmarkEnd w:id="10"/>
    <w:p w14:paraId="74AD6533" w14:textId="606D86CB" w:rsidR="00922C43" w:rsidRPr="0030513A" w:rsidRDefault="0030513A" w:rsidP="0030513A">
      <w:pPr>
        <w:pStyle w:val="Heading1"/>
      </w:pPr>
      <w:r w:rsidRPr="0030513A">
        <w:lastRenderedPageBreak/>
        <w:t>ANTI-EPILEPTICS</w:t>
      </w:r>
      <w:bookmarkStart w:id="11" w:name="_Hlk534628995"/>
    </w:p>
    <w:p w14:paraId="3553CFB6" w14:textId="77777777" w:rsidR="000E7FCE" w:rsidRDefault="000E7FCE" w:rsidP="000E7FCE">
      <w:pPr>
        <w:rPr>
          <w:b/>
        </w:rPr>
      </w:pPr>
      <w:bookmarkStart w:id="12" w:name="_Hlk18921542"/>
      <w:r>
        <w:t xml:space="preserve">Note: </w:t>
      </w:r>
      <w:r>
        <w:rPr>
          <w:b/>
        </w:rPr>
        <w:t xml:space="preserve">The below tables are based on at least two prescriptions in an attempt to ensure that only those with epilepsy are included.  </w:t>
      </w:r>
      <w:bookmarkEnd w:id="12"/>
    </w:p>
    <w:p w14:paraId="1767F625" w14:textId="6B544F22" w:rsidR="00A16FED" w:rsidRPr="0030513A" w:rsidRDefault="000E7FCE" w:rsidP="000E7FCE">
      <w:r w:rsidRPr="0030513A">
        <w:t xml:space="preserve"> </w:t>
      </w:r>
      <w:r w:rsidR="0023748A" w:rsidRPr="0030513A">
        <w:t>The anti-epileptic drug groups used in the below tables are:</w:t>
      </w:r>
    </w:p>
    <w:p w14:paraId="396ED323" w14:textId="77777777" w:rsidR="0023748A" w:rsidRPr="0030513A" w:rsidRDefault="0023748A" w:rsidP="007538D5">
      <w:pPr>
        <w:pStyle w:val="ListParagraph"/>
        <w:numPr>
          <w:ilvl w:val="0"/>
          <w:numId w:val="6"/>
        </w:numPr>
      </w:pPr>
      <w:r w:rsidRPr="0030513A">
        <w:t>Any antiepileptic (ATC N03)</w:t>
      </w:r>
    </w:p>
    <w:p w14:paraId="6241E4A6" w14:textId="77777777" w:rsidR="0023748A" w:rsidRPr="0030513A" w:rsidRDefault="0023748A" w:rsidP="007538D5">
      <w:pPr>
        <w:pStyle w:val="ListParagraph"/>
        <w:numPr>
          <w:ilvl w:val="1"/>
          <w:numId w:val="6"/>
        </w:numPr>
      </w:pPr>
      <w:r w:rsidRPr="0030513A">
        <w:t>Barbiturates and derivatives (N03AA)</w:t>
      </w:r>
    </w:p>
    <w:p w14:paraId="0A2BBE43" w14:textId="1F1ACD47" w:rsidR="0023748A" w:rsidRPr="0030513A" w:rsidRDefault="0023748A" w:rsidP="007538D5">
      <w:pPr>
        <w:pStyle w:val="ListParagraph"/>
        <w:numPr>
          <w:ilvl w:val="1"/>
          <w:numId w:val="6"/>
        </w:numPr>
      </w:pPr>
      <w:r w:rsidRPr="0030513A">
        <w:t>Hydantoin derivatives (N03AB)</w:t>
      </w:r>
    </w:p>
    <w:p w14:paraId="5DF26563" w14:textId="53318EC1" w:rsidR="0023748A" w:rsidRPr="0030513A" w:rsidRDefault="0023748A" w:rsidP="007538D5">
      <w:pPr>
        <w:pStyle w:val="ListParagraph"/>
        <w:numPr>
          <w:ilvl w:val="1"/>
          <w:numId w:val="6"/>
        </w:numPr>
      </w:pPr>
      <w:r w:rsidRPr="0030513A">
        <w:t>Succinimide derivatives (N03AD)</w:t>
      </w:r>
    </w:p>
    <w:p w14:paraId="37286F0B" w14:textId="3B654704" w:rsidR="0023748A" w:rsidRPr="0030513A" w:rsidRDefault="0023748A" w:rsidP="007538D5">
      <w:pPr>
        <w:pStyle w:val="ListParagraph"/>
        <w:numPr>
          <w:ilvl w:val="1"/>
          <w:numId w:val="6"/>
        </w:numPr>
      </w:pPr>
      <w:r w:rsidRPr="0030513A">
        <w:t>Benzodiazepine derivatives (N03AE)</w:t>
      </w:r>
    </w:p>
    <w:p w14:paraId="2538B7F0" w14:textId="6DD1C159" w:rsidR="0023748A" w:rsidRPr="0030513A" w:rsidRDefault="0023748A" w:rsidP="007538D5">
      <w:pPr>
        <w:pStyle w:val="ListParagraph"/>
        <w:numPr>
          <w:ilvl w:val="1"/>
          <w:numId w:val="6"/>
        </w:numPr>
      </w:pPr>
      <w:bookmarkStart w:id="13" w:name="_Hlk4680524"/>
      <w:r w:rsidRPr="0030513A">
        <w:t>Carboxamide derivatives (N03AF)</w:t>
      </w:r>
    </w:p>
    <w:bookmarkEnd w:id="13"/>
    <w:p w14:paraId="0BF53BD8" w14:textId="522B331B" w:rsidR="0023748A" w:rsidRPr="0030513A" w:rsidRDefault="0023748A" w:rsidP="007538D5">
      <w:pPr>
        <w:pStyle w:val="ListParagraph"/>
        <w:numPr>
          <w:ilvl w:val="1"/>
          <w:numId w:val="6"/>
        </w:numPr>
      </w:pPr>
      <w:r w:rsidRPr="0030513A">
        <w:t>Fatty acid derivatives (N03AG)</w:t>
      </w:r>
    </w:p>
    <w:p w14:paraId="781401AD" w14:textId="0E6B7261" w:rsidR="0023748A" w:rsidRPr="0030513A" w:rsidRDefault="0023748A" w:rsidP="007538D5">
      <w:pPr>
        <w:pStyle w:val="ListParagraph"/>
        <w:numPr>
          <w:ilvl w:val="1"/>
          <w:numId w:val="6"/>
        </w:numPr>
        <w:rPr>
          <w:b/>
        </w:rPr>
      </w:pPr>
      <w:r w:rsidRPr="0030513A">
        <w:t>Other antiepileptics</w:t>
      </w:r>
      <w:r w:rsidRPr="0030513A">
        <w:rPr>
          <w:b/>
        </w:rPr>
        <w:t xml:space="preserve"> (</w:t>
      </w:r>
      <w:r w:rsidRPr="0030513A">
        <w:t>N03AX)</w:t>
      </w:r>
    </w:p>
    <w:bookmarkEnd w:id="11"/>
    <w:p w14:paraId="746780ED" w14:textId="6003170F" w:rsidR="0046383C" w:rsidRDefault="0046383C" w:rsidP="007538D5">
      <w:pPr>
        <w:numPr>
          <w:ilvl w:val="0"/>
          <w:numId w:val="12"/>
        </w:numPr>
        <w:spacing w:after="240"/>
      </w:pPr>
      <w:r>
        <w:t>a-h Number of children with a</w:t>
      </w:r>
      <w:r w:rsidR="000F10C8">
        <w:t xml:space="preserve">t least two prescriptions </w:t>
      </w:r>
      <w:r>
        <w:t>(can be used with table 1 to calculate period prevalence) for a</w:t>
      </w:r>
      <w:r w:rsidR="003F7FAB">
        <w:t>n</w:t>
      </w:r>
      <w:r>
        <w:t xml:space="preserve"> </w:t>
      </w:r>
      <w:r w:rsidR="003F7FAB">
        <w:t>AED</w:t>
      </w:r>
      <w:r>
        <w:t xml:space="preserve"> (above categories) across risk factors by age at prescription (&lt;1 years, 1-4 years and 5-9 years of age). </w:t>
      </w:r>
    </w:p>
    <w:p w14:paraId="41C9FFF4" w14:textId="53C44689" w:rsidR="0046383C" w:rsidRDefault="0046383C" w:rsidP="007538D5">
      <w:pPr>
        <w:numPr>
          <w:ilvl w:val="0"/>
          <w:numId w:val="12"/>
        </w:numPr>
        <w:spacing w:after="240"/>
      </w:pPr>
      <w:r>
        <w:t>A-</w:t>
      </w:r>
      <w:r w:rsidR="00F57999">
        <w:t>C</w:t>
      </w:r>
      <w:r>
        <w:t xml:space="preserve"> Cumulative incidence (Kaplan-Meier survival estimate) of at least </w:t>
      </w:r>
      <w:r w:rsidR="0083162B">
        <w:t xml:space="preserve">two </w:t>
      </w:r>
      <w:r>
        <w:t>prescription</w:t>
      </w:r>
      <w:r w:rsidR="0083162B">
        <w:t>s</w:t>
      </w:r>
      <w:r>
        <w:t xml:space="preserve"> for </w:t>
      </w:r>
      <w:r w:rsidR="00946DEE">
        <w:t>an AED</w:t>
      </w:r>
      <w:r>
        <w:t xml:space="preserve"> (by categories) for cases and co</w:t>
      </w:r>
      <w:r w:rsidR="00F57999">
        <w:t>ntrols a) &lt;1 year; b) 1-4 years and</w:t>
      </w:r>
      <w:r>
        <w:t xml:space="preserve"> c) 5-9.  </w:t>
      </w:r>
    </w:p>
    <w:p w14:paraId="486D535B" w14:textId="77777777" w:rsidR="00CF3417" w:rsidRDefault="00CF3417" w:rsidP="00CF3417">
      <w:pPr>
        <w:spacing w:after="240"/>
      </w:pPr>
    </w:p>
    <w:p w14:paraId="2C86EED5" w14:textId="0B6120A8" w:rsidR="00717588" w:rsidRPr="0030513A" w:rsidRDefault="0030513A" w:rsidP="00F32999">
      <w:pPr>
        <w:pStyle w:val="Heading1"/>
      </w:pPr>
      <w:r w:rsidRPr="0030513A">
        <w:t xml:space="preserve">ANTI-DIABETICS </w:t>
      </w:r>
    </w:p>
    <w:p w14:paraId="5FDE232F" w14:textId="60A1D775" w:rsidR="007119F1" w:rsidRPr="0030513A" w:rsidRDefault="0023748A" w:rsidP="00E22699">
      <w:pPr>
        <w:contextualSpacing/>
      </w:pPr>
      <w:r w:rsidRPr="0030513A">
        <w:t>The anti-diabetic medication categories used in the below tables are:</w:t>
      </w:r>
    </w:p>
    <w:p w14:paraId="3BD398EB" w14:textId="74AD5341" w:rsidR="0023748A" w:rsidRPr="004D7C0B" w:rsidRDefault="0023748A" w:rsidP="007538D5">
      <w:pPr>
        <w:pStyle w:val="ListParagraph"/>
        <w:numPr>
          <w:ilvl w:val="0"/>
          <w:numId w:val="7"/>
        </w:numPr>
        <w:ind w:left="360"/>
      </w:pPr>
      <w:r w:rsidRPr="0030513A">
        <w:t xml:space="preserve">Any </w:t>
      </w:r>
      <w:r w:rsidRPr="004D7C0B">
        <w:t>antidiabetic medication (A10)</w:t>
      </w:r>
    </w:p>
    <w:p w14:paraId="29573767" w14:textId="77777777" w:rsidR="0023748A" w:rsidRPr="004D7C0B" w:rsidRDefault="0023748A" w:rsidP="007538D5">
      <w:pPr>
        <w:numPr>
          <w:ilvl w:val="1"/>
          <w:numId w:val="4"/>
        </w:numPr>
        <w:ind w:left="720"/>
        <w:contextualSpacing/>
        <w:rPr>
          <w:b/>
        </w:rPr>
      </w:pPr>
      <w:r w:rsidRPr="004D7C0B">
        <w:t>Insulins and analogues (A10A)</w:t>
      </w:r>
    </w:p>
    <w:p w14:paraId="4B54F130" w14:textId="77777777" w:rsidR="0023748A" w:rsidRPr="004D7C0B" w:rsidRDefault="0023748A" w:rsidP="007538D5">
      <w:pPr>
        <w:numPr>
          <w:ilvl w:val="1"/>
          <w:numId w:val="4"/>
        </w:numPr>
        <w:ind w:left="720"/>
        <w:contextualSpacing/>
      </w:pPr>
      <w:r w:rsidRPr="004D7C0B">
        <w:t>Blood glucose lowering drugs, excluding Insulins (A10B)</w:t>
      </w:r>
    </w:p>
    <w:p w14:paraId="2F2C9BD0" w14:textId="5D6258BF" w:rsidR="007538D5" w:rsidRPr="004D7C0B" w:rsidRDefault="007538D5" w:rsidP="007538D5">
      <w:pPr>
        <w:contextualSpacing/>
      </w:pPr>
    </w:p>
    <w:p w14:paraId="23026D58" w14:textId="33F9FB20" w:rsidR="00AC6277" w:rsidRDefault="00AC6277" w:rsidP="00D06BF4">
      <w:pPr>
        <w:numPr>
          <w:ilvl w:val="0"/>
          <w:numId w:val="13"/>
        </w:numPr>
        <w:spacing w:after="240"/>
      </w:pPr>
      <w:r>
        <w:t>a-</w:t>
      </w:r>
      <w:r w:rsidR="00042A77">
        <w:t>c</w:t>
      </w:r>
      <w:r>
        <w:t xml:space="preserve"> Number of children with a prescription (can be used with table 1 to calculate period prevalence), across risk factors by age at prescription (</w:t>
      </w:r>
      <w:r w:rsidR="002C710A">
        <w:t>0</w:t>
      </w:r>
      <w:r>
        <w:t xml:space="preserve">-4 years and 5-9 years of age). </w:t>
      </w:r>
      <w:r w:rsidR="00D06BF4">
        <w:t>0-4 years used as diabetes is rare in those &lt;1.</w:t>
      </w:r>
      <w:r w:rsidR="00D06BF4" w:rsidDel="00D06BF4">
        <w:rPr>
          <w:rStyle w:val="CommentReference"/>
        </w:rPr>
        <w:t xml:space="preserve"> </w:t>
      </w:r>
    </w:p>
    <w:p w14:paraId="60B64A56" w14:textId="746DB14C" w:rsidR="00AC6277" w:rsidRDefault="00AC6277" w:rsidP="00D06BF4">
      <w:pPr>
        <w:numPr>
          <w:ilvl w:val="0"/>
          <w:numId w:val="13"/>
        </w:numPr>
        <w:spacing w:after="240"/>
      </w:pPr>
      <w:r>
        <w:t>A-</w:t>
      </w:r>
      <w:r w:rsidR="00AD60ED">
        <w:t>B</w:t>
      </w:r>
      <w:r>
        <w:t xml:space="preserve"> Cumulative incidence (1-Kaplan-Meier survival estimate) of at least one prescription for any antidiabetic medication (A10</w:t>
      </w:r>
      <w:r w:rsidR="00BF5E1F">
        <w:t xml:space="preserve"> </w:t>
      </w:r>
      <w:r>
        <w:t xml:space="preserve">categories) for cases and controls a) </w:t>
      </w:r>
      <w:r w:rsidR="002C710A">
        <w:t>0</w:t>
      </w:r>
      <w:r>
        <w:t xml:space="preserve">-4 </w:t>
      </w:r>
      <w:r w:rsidRPr="009E1DF9">
        <w:t>years</w:t>
      </w:r>
      <w:r w:rsidR="00F57999" w:rsidRPr="00F57999">
        <w:t xml:space="preserve"> </w:t>
      </w:r>
      <w:r w:rsidR="00F57999" w:rsidRPr="009E1DF9">
        <w:t>and</w:t>
      </w:r>
      <w:r w:rsidRPr="009E1DF9">
        <w:t xml:space="preserve"> </w:t>
      </w:r>
      <w:r w:rsidR="002C710A">
        <w:t>b</w:t>
      </w:r>
      <w:r w:rsidRPr="009E1DF9">
        <w:t xml:space="preserve">) 5-9 years.  </w:t>
      </w:r>
      <w:r w:rsidR="00D06BF4">
        <w:t>0-4 years used as diabetes is rare in those &lt;1.</w:t>
      </w:r>
    </w:p>
    <w:p w14:paraId="5E59F888" w14:textId="77777777" w:rsidR="00AD60ED" w:rsidRDefault="00AD60ED" w:rsidP="00AD60ED"/>
    <w:p w14:paraId="77E1C78B" w14:textId="412DBF2F" w:rsidR="00D92105" w:rsidRPr="00CF3417" w:rsidRDefault="005D2947" w:rsidP="00D92105">
      <w:pPr>
        <w:spacing w:after="240"/>
        <w:rPr>
          <w:b/>
        </w:rPr>
      </w:pPr>
      <w:r>
        <w:rPr>
          <w:b/>
        </w:rPr>
        <w:t>Pan European</w:t>
      </w:r>
      <w:r w:rsidR="00D92105" w:rsidRPr="00CF3417">
        <w:rPr>
          <w:b/>
        </w:rPr>
        <w:t xml:space="preserve"> analysis</w:t>
      </w:r>
    </w:p>
    <w:p w14:paraId="4F8A55D3" w14:textId="23E5FD80" w:rsidR="00887A04" w:rsidRDefault="009D3633" w:rsidP="00DA4F20">
      <w:pPr>
        <w:spacing w:after="240"/>
      </w:pPr>
      <w:r>
        <w:t>To co</w:t>
      </w:r>
      <w:r w:rsidR="00C40ABF">
        <w:t>mbine</w:t>
      </w:r>
      <w:r>
        <w:t xml:space="preserve"> the p</w:t>
      </w:r>
      <w:r w:rsidR="00CB769A">
        <w:t xml:space="preserve">revalence of </w:t>
      </w:r>
      <w:r w:rsidR="00CC7EAC">
        <w:t>medication</w:t>
      </w:r>
      <w:r w:rsidR="00CB769A">
        <w:t xml:space="preserve"> use </w:t>
      </w:r>
      <w:r w:rsidR="00B22FA4">
        <w:t xml:space="preserve">in cases and controls </w:t>
      </w:r>
      <w:r w:rsidR="00CB769A">
        <w:t xml:space="preserve">across registries </w:t>
      </w:r>
      <w:r w:rsidR="00C40ABF">
        <w:t xml:space="preserve">METAPROP or METAN </w:t>
      </w:r>
      <w:r w:rsidR="006A16B4">
        <w:t>(</w:t>
      </w:r>
      <w:r w:rsidR="006A16B4" w:rsidRPr="006A16B4">
        <w:t>using the Freeman-Tukey Double Arcsine Transformation to stabilise the variance</w:t>
      </w:r>
      <w:r w:rsidR="006A16B4">
        <w:t xml:space="preserve">) </w:t>
      </w:r>
      <w:r w:rsidR="00E9166A">
        <w:t>w</w:t>
      </w:r>
      <w:r w:rsidR="004E3DD7">
        <w:t>ill</w:t>
      </w:r>
      <w:r w:rsidR="00E9166A">
        <w:t xml:space="preserve"> be used. </w:t>
      </w:r>
      <w:r w:rsidR="00D70EBC">
        <w:t>T</w:t>
      </w:r>
      <w:r w:rsidR="00D70EBC" w:rsidRPr="00D70EBC">
        <w:t>he I2 statistic w</w:t>
      </w:r>
      <w:r w:rsidR="00260200">
        <w:t>ill</w:t>
      </w:r>
      <w:r w:rsidR="00D70EBC" w:rsidRPr="00D70EBC">
        <w:t xml:space="preserve"> describes the percentage of total variation </w:t>
      </w:r>
      <w:r w:rsidR="00361A73">
        <w:t>across registries</w:t>
      </w:r>
      <w:r w:rsidR="00D70EBC" w:rsidRPr="00D70EBC">
        <w:t xml:space="preserve">.  </w:t>
      </w:r>
      <w:r w:rsidR="00CF118C">
        <w:t xml:space="preserve">The difference in risk could be examined </w:t>
      </w:r>
      <w:r w:rsidR="00B50166">
        <w:t>using</w:t>
      </w:r>
      <w:r w:rsidR="00CF118C" w:rsidRPr="00CF118C">
        <w:t xml:space="preserve"> MVMETA again with the Freeman-Tukey Double Arcsine Transformation to stabilise the variance</w:t>
      </w:r>
      <w:r w:rsidR="00887A04">
        <w:t xml:space="preserve">. </w:t>
      </w:r>
    </w:p>
    <w:p w14:paraId="75752211" w14:textId="77777777" w:rsidR="00E9166A" w:rsidRDefault="00E9166A" w:rsidP="00DA4F20">
      <w:pPr>
        <w:spacing w:after="240"/>
      </w:pPr>
    </w:p>
    <w:p w14:paraId="0990A55E" w14:textId="0774E208" w:rsidR="003004B1" w:rsidRPr="00B91F53" w:rsidRDefault="003004B1" w:rsidP="003004B1"/>
    <w:sectPr w:rsidR="003004B1" w:rsidRPr="00B91F5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6BA3" w14:textId="77777777" w:rsidR="00561C73" w:rsidRDefault="00561C73" w:rsidP="00AB7DC4">
      <w:pPr>
        <w:spacing w:after="0" w:line="240" w:lineRule="auto"/>
      </w:pPr>
      <w:r>
        <w:separator/>
      </w:r>
    </w:p>
  </w:endnote>
  <w:endnote w:type="continuationSeparator" w:id="0">
    <w:p w14:paraId="1DF68D23" w14:textId="77777777" w:rsidR="00561C73" w:rsidRDefault="00561C73" w:rsidP="00AB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438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7C34E" w14:textId="53DE98D2" w:rsidR="00AA58E4" w:rsidRDefault="00AA58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288FC" w14:textId="77777777" w:rsidR="00AA58E4" w:rsidRDefault="00AA5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0D0E" w14:textId="77777777" w:rsidR="00561C73" w:rsidRDefault="00561C73" w:rsidP="00AB7DC4">
      <w:pPr>
        <w:spacing w:after="0" w:line="240" w:lineRule="auto"/>
      </w:pPr>
      <w:r>
        <w:separator/>
      </w:r>
    </w:p>
  </w:footnote>
  <w:footnote w:type="continuationSeparator" w:id="0">
    <w:p w14:paraId="2FF9E8B4" w14:textId="77777777" w:rsidR="00561C73" w:rsidRDefault="00561C73" w:rsidP="00AB7DC4">
      <w:pPr>
        <w:spacing w:after="0" w:line="240" w:lineRule="auto"/>
      </w:pPr>
      <w:r>
        <w:continuationSeparator/>
      </w:r>
    </w:p>
  </w:footnote>
  <w:footnote w:id="1">
    <w:p w14:paraId="25A95AD7" w14:textId="638D0653" w:rsidR="00A94446" w:rsidRDefault="00A94446">
      <w:pPr>
        <w:pStyle w:val="FootnoteText"/>
      </w:pPr>
      <w:r>
        <w:rPr>
          <w:rStyle w:val="FootnoteReference"/>
        </w:rPr>
        <w:footnoteRef/>
      </w:r>
      <w:r>
        <w:t xml:space="preserve"> Anomalies selected based on a livebirth prevalence of </w:t>
      </w:r>
      <w:r w:rsidR="00D32232">
        <w:rPr>
          <w:rFonts w:cstheme="minorHAnsi"/>
        </w:rPr>
        <w:t>≥</w:t>
      </w:r>
      <w:r w:rsidR="00D32232">
        <w:t xml:space="preserve"> </w:t>
      </w:r>
      <w:r>
        <w:t>1.75 per 10,000 births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BC9"/>
    <w:multiLevelType w:val="hybridMultilevel"/>
    <w:tmpl w:val="0FD27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2C32"/>
    <w:multiLevelType w:val="hybridMultilevel"/>
    <w:tmpl w:val="5264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2CE"/>
    <w:multiLevelType w:val="hybridMultilevel"/>
    <w:tmpl w:val="FFC23FC6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70E51"/>
    <w:multiLevelType w:val="hybridMultilevel"/>
    <w:tmpl w:val="37E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742"/>
    <w:multiLevelType w:val="hybridMultilevel"/>
    <w:tmpl w:val="7DD48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634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D798E"/>
    <w:multiLevelType w:val="hybridMultilevel"/>
    <w:tmpl w:val="244001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84248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E0C22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F0BDD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73FBF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C16EB"/>
    <w:multiLevelType w:val="hybridMultilevel"/>
    <w:tmpl w:val="FFC23FC6"/>
    <w:lvl w:ilvl="0" w:tplc="A1DCE9C4">
      <w:start w:val="1"/>
      <w:numFmt w:val="decimal"/>
      <w:lvlText w:val="Table %1: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266CB2"/>
    <w:multiLevelType w:val="hybridMultilevel"/>
    <w:tmpl w:val="FFC23FC6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67F54"/>
    <w:multiLevelType w:val="hybridMultilevel"/>
    <w:tmpl w:val="0478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409BF"/>
    <w:multiLevelType w:val="hybridMultilevel"/>
    <w:tmpl w:val="903E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A4731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953D8"/>
    <w:multiLevelType w:val="hybridMultilevel"/>
    <w:tmpl w:val="B3A2CE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85589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2778A9"/>
    <w:multiLevelType w:val="hybridMultilevel"/>
    <w:tmpl w:val="04FCB9A2"/>
    <w:lvl w:ilvl="0" w:tplc="A1DCE9C4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8"/>
  </w:num>
  <w:num w:numId="16">
    <w:abstractNumId w:val="17"/>
  </w:num>
  <w:num w:numId="17">
    <w:abstractNumId w:val="18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D3"/>
    <w:rsid w:val="00002EA2"/>
    <w:rsid w:val="00013B19"/>
    <w:rsid w:val="00031E21"/>
    <w:rsid w:val="00034E68"/>
    <w:rsid w:val="00042A77"/>
    <w:rsid w:val="00052803"/>
    <w:rsid w:val="00056F2C"/>
    <w:rsid w:val="00066521"/>
    <w:rsid w:val="000715B3"/>
    <w:rsid w:val="00086DCC"/>
    <w:rsid w:val="00087391"/>
    <w:rsid w:val="00087CD5"/>
    <w:rsid w:val="000914E9"/>
    <w:rsid w:val="000926B9"/>
    <w:rsid w:val="00097298"/>
    <w:rsid w:val="00097358"/>
    <w:rsid w:val="00097A5D"/>
    <w:rsid w:val="000A457B"/>
    <w:rsid w:val="000A526C"/>
    <w:rsid w:val="000B486C"/>
    <w:rsid w:val="000B68F8"/>
    <w:rsid w:val="000B7B21"/>
    <w:rsid w:val="000D4E25"/>
    <w:rsid w:val="000D7714"/>
    <w:rsid w:val="000E00A3"/>
    <w:rsid w:val="000E1F2A"/>
    <w:rsid w:val="000E4764"/>
    <w:rsid w:val="000E7FCE"/>
    <w:rsid w:val="000F10C8"/>
    <w:rsid w:val="000F19BB"/>
    <w:rsid w:val="000F3366"/>
    <w:rsid w:val="000F3D52"/>
    <w:rsid w:val="000F49A5"/>
    <w:rsid w:val="000F4F47"/>
    <w:rsid w:val="000F7476"/>
    <w:rsid w:val="000F79F2"/>
    <w:rsid w:val="00100A7E"/>
    <w:rsid w:val="0010159C"/>
    <w:rsid w:val="00102566"/>
    <w:rsid w:val="00102E13"/>
    <w:rsid w:val="0010542C"/>
    <w:rsid w:val="0012084A"/>
    <w:rsid w:val="00121235"/>
    <w:rsid w:val="00127645"/>
    <w:rsid w:val="00134421"/>
    <w:rsid w:val="00136CF7"/>
    <w:rsid w:val="001379F6"/>
    <w:rsid w:val="0015540F"/>
    <w:rsid w:val="001574BA"/>
    <w:rsid w:val="00177A22"/>
    <w:rsid w:val="00192CC7"/>
    <w:rsid w:val="001932C1"/>
    <w:rsid w:val="001964DB"/>
    <w:rsid w:val="001A26B5"/>
    <w:rsid w:val="001B2142"/>
    <w:rsid w:val="001B4BA8"/>
    <w:rsid w:val="001D0881"/>
    <w:rsid w:val="001D1177"/>
    <w:rsid w:val="001E2B11"/>
    <w:rsid w:val="001F00F3"/>
    <w:rsid w:val="001F18B4"/>
    <w:rsid w:val="001F50D0"/>
    <w:rsid w:val="00203D2A"/>
    <w:rsid w:val="00214EF5"/>
    <w:rsid w:val="00214FA7"/>
    <w:rsid w:val="00217113"/>
    <w:rsid w:val="002248CD"/>
    <w:rsid w:val="00231387"/>
    <w:rsid w:val="002318F2"/>
    <w:rsid w:val="0023748A"/>
    <w:rsid w:val="00244D41"/>
    <w:rsid w:val="0024601D"/>
    <w:rsid w:val="0025021D"/>
    <w:rsid w:val="00253499"/>
    <w:rsid w:val="00260200"/>
    <w:rsid w:val="00271592"/>
    <w:rsid w:val="00271652"/>
    <w:rsid w:val="00272B6F"/>
    <w:rsid w:val="00291094"/>
    <w:rsid w:val="002925FC"/>
    <w:rsid w:val="00292BA9"/>
    <w:rsid w:val="00294597"/>
    <w:rsid w:val="00294AE8"/>
    <w:rsid w:val="0029586A"/>
    <w:rsid w:val="002A1B66"/>
    <w:rsid w:val="002A294D"/>
    <w:rsid w:val="002A54FA"/>
    <w:rsid w:val="002A5F81"/>
    <w:rsid w:val="002B14DA"/>
    <w:rsid w:val="002B5F81"/>
    <w:rsid w:val="002C3731"/>
    <w:rsid w:val="002C710A"/>
    <w:rsid w:val="002C78A5"/>
    <w:rsid w:val="002D6781"/>
    <w:rsid w:val="002D7CDA"/>
    <w:rsid w:val="002E2204"/>
    <w:rsid w:val="002F11E8"/>
    <w:rsid w:val="003004B1"/>
    <w:rsid w:val="00303034"/>
    <w:rsid w:val="00303888"/>
    <w:rsid w:val="0030513A"/>
    <w:rsid w:val="00305718"/>
    <w:rsid w:val="00311399"/>
    <w:rsid w:val="003120DF"/>
    <w:rsid w:val="00324D80"/>
    <w:rsid w:val="00327099"/>
    <w:rsid w:val="00340DE6"/>
    <w:rsid w:val="00347A75"/>
    <w:rsid w:val="00361A73"/>
    <w:rsid w:val="00364763"/>
    <w:rsid w:val="00366754"/>
    <w:rsid w:val="0036731C"/>
    <w:rsid w:val="00381D6B"/>
    <w:rsid w:val="003821FB"/>
    <w:rsid w:val="003858C1"/>
    <w:rsid w:val="00385B32"/>
    <w:rsid w:val="00387AE9"/>
    <w:rsid w:val="00392FD9"/>
    <w:rsid w:val="00393C92"/>
    <w:rsid w:val="003B128C"/>
    <w:rsid w:val="003C78D3"/>
    <w:rsid w:val="003E05EB"/>
    <w:rsid w:val="003E0E18"/>
    <w:rsid w:val="003F5CEB"/>
    <w:rsid w:val="003F7FAB"/>
    <w:rsid w:val="00410949"/>
    <w:rsid w:val="00416C2A"/>
    <w:rsid w:val="0041730F"/>
    <w:rsid w:val="0042133E"/>
    <w:rsid w:val="00426BE7"/>
    <w:rsid w:val="00427457"/>
    <w:rsid w:val="00427F57"/>
    <w:rsid w:val="00430872"/>
    <w:rsid w:val="00430EAA"/>
    <w:rsid w:val="00431E09"/>
    <w:rsid w:val="00432DD7"/>
    <w:rsid w:val="00433464"/>
    <w:rsid w:val="004459AF"/>
    <w:rsid w:val="00447571"/>
    <w:rsid w:val="0045307F"/>
    <w:rsid w:val="0046383C"/>
    <w:rsid w:val="00464D8B"/>
    <w:rsid w:val="00472846"/>
    <w:rsid w:val="00473743"/>
    <w:rsid w:val="00474E28"/>
    <w:rsid w:val="0048125E"/>
    <w:rsid w:val="00492BA9"/>
    <w:rsid w:val="00492BAF"/>
    <w:rsid w:val="004949AB"/>
    <w:rsid w:val="004A5FC6"/>
    <w:rsid w:val="004C35E7"/>
    <w:rsid w:val="004C606A"/>
    <w:rsid w:val="004C610E"/>
    <w:rsid w:val="004D5800"/>
    <w:rsid w:val="004D7C0B"/>
    <w:rsid w:val="004E04DF"/>
    <w:rsid w:val="004E3DD7"/>
    <w:rsid w:val="004E3F2F"/>
    <w:rsid w:val="004E3FB4"/>
    <w:rsid w:val="004E6712"/>
    <w:rsid w:val="004E70DC"/>
    <w:rsid w:val="004E78BE"/>
    <w:rsid w:val="004F4E54"/>
    <w:rsid w:val="004F7EE1"/>
    <w:rsid w:val="005018B2"/>
    <w:rsid w:val="00503192"/>
    <w:rsid w:val="00505AD3"/>
    <w:rsid w:val="00510B29"/>
    <w:rsid w:val="005136B6"/>
    <w:rsid w:val="00520877"/>
    <w:rsid w:val="005215EE"/>
    <w:rsid w:val="00525690"/>
    <w:rsid w:val="00525CAD"/>
    <w:rsid w:val="00531B54"/>
    <w:rsid w:val="00536C19"/>
    <w:rsid w:val="005502BE"/>
    <w:rsid w:val="0055623A"/>
    <w:rsid w:val="00561C73"/>
    <w:rsid w:val="00565351"/>
    <w:rsid w:val="00572D3C"/>
    <w:rsid w:val="0057562D"/>
    <w:rsid w:val="00581508"/>
    <w:rsid w:val="00584602"/>
    <w:rsid w:val="0058608B"/>
    <w:rsid w:val="00594937"/>
    <w:rsid w:val="00595349"/>
    <w:rsid w:val="005954E9"/>
    <w:rsid w:val="00597661"/>
    <w:rsid w:val="005A6CC1"/>
    <w:rsid w:val="005B1DBC"/>
    <w:rsid w:val="005B5E21"/>
    <w:rsid w:val="005B7DE7"/>
    <w:rsid w:val="005C45C6"/>
    <w:rsid w:val="005D021E"/>
    <w:rsid w:val="005D2947"/>
    <w:rsid w:val="005D5985"/>
    <w:rsid w:val="005D634D"/>
    <w:rsid w:val="005E00AC"/>
    <w:rsid w:val="005E2985"/>
    <w:rsid w:val="005E537D"/>
    <w:rsid w:val="005E7631"/>
    <w:rsid w:val="005F00D6"/>
    <w:rsid w:val="005F2342"/>
    <w:rsid w:val="005F4E82"/>
    <w:rsid w:val="005F5375"/>
    <w:rsid w:val="006032D1"/>
    <w:rsid w:val="00605D78"/>
    <w:rsid w:val="006079DF"/>
    <w:rsid w:val="00607CEB"/>
    <w:rsid w:val="00610192"/>
    <w:rsid w:val="0062084A"/>
    <w:rsid w:val="00624469"/>
    <w:rsid w:val="006415DC"/>
    <w:rsid w:val="00647659"/>
    <w:rsid w:val="00650D95"/>
    <w:rsid w:val="006528EA"/>
    <w:rsid w:val="00652BC5"/>
    <w:rsid w:val="0065343B"/>
    <w:rsid w:val="00657327"/>
    <w:rsid w:val="0067591F"/>
    <w:rsid w:val="006764F9"/>
    <w:rsid w:val="00680B8A"/>
    <w:rsid w:val="006831A5"/>
    <w:rsid w:val="00685681"/>
    <w:rsid w:val="00696680"/>
    <w:rsid w:val="006A16B4"/>
    <w:rsid w:val="006A7D4A"/>
    <w:rsid w:val="006B2933"/>
    <w:rsid w:val="006B3F35"/>
    <w:rsid w:val="006B42FD"/>
    <w:rsid w:val="006C7F34"/>
    <w:rsid w:val="006D3AD0"/>
    <w:rsid w:val="006D5E5C"/>
    <w:rsid w:val="006D6BB8"/>
    <w:rsid w:val="006D7E51"/>
    <w:rsid w:val="006F55E6"/>
    <w:rsid w:val="006F653B"/>
    <w:rsid w:val="006F79B8"/>
    <w:rsid w:val="007030F6"/>
    <w:rsid w:val="00704B37"/>
    <w:rsid w:val="00710521"/>
    <w:rsid w:val="007119F1"/>
    <w:rsid w:val="00717588"/>
    <w:rsid w:val="007179B3"/>
    <w:rsid w:val="00735EE0"/>
    <w:rsid w:val="007477DB"/>
    <w:rsid w:val="007517AC"/>
    <w:rsid w:val="007538D5"/>
    <w:rsid w:val="0076440C"/>
    <w:rsid w:val="0078755C"/>
    <w:rsid w:val="007A0418"/>
    <w:rsid w:val="007A7023"/>
    <w:rsid w:val="007A7A1F"/>
    <w:rsid w:val="007A7AB4"/>
    <w:rsid w:val="007B2265"/>
    <w:rsid w:val="007C0D3B"/>
    <w:rsid w:val="007C2D44"/>
    <w:rsid w:val="007D0D1D"/>
    <w:rsid w:val="007D1054"/>
    <w:rsid w:val="007D4DB5"/>
    <w:rsid w:val="007D5CD8"/>
    <w:rsid w:val="007E0DF0"/>
    <w:rsid w:val="007F32D8"/>
    <w:rsid w:val="0080656F"/>
    <w:rsid w:val="00830900"/>
    <w:rsid w:val="0083162B"/>
    <w:rsid w:val="0083579B"/>
    <w:rsid w:val="00856C6A"/>
    <w:rsid w:val="008651FF"/>
    <w:rsid w:val="00886CE0"/>
    <w:rsid w:val="008879A5"/>
    <w:rsid w:val="00887A04"/>
    <w:rsid w:val="008A13E7"/>
    <w:rsid w:val="008A1B79"/>
    <w:rsid w:val="008A372B"/>
    <w:rsid w:val="008B01D6"/>
    <w:rsid w:val="008B20AA"/>
    <w:rsid w:val="008B4A73"/>
    <w:rsid w:val="008C3B97"/>
    <w:rsid w:val="008C3CCF"/>
    <w:rsid w:val="008C6CB3"/>
    <w:rsid w:val="008D5747"/>
    <w:rsid w:val="008D6CFC"/>
    <w:rsid w:val="008E499B"/>
    <w:rsid w:val="008F01F1"/>
    <w:rsid w:val="008F0823"/>
    <w:rsid w:val="008F78E4"/>
    <w:rsid w:val="009035FD"/>
    <w:rsid w:val="009067E9"/>
    <w:rsid w:val="00910BB1"/>
    <w:rsid w:val="009175B4"/>
    <w:rsid w:val="00917855"/>
    <w:rsid w:val="0092066F"/>
    <w:rsid w:val="00922C43"/>
    <w:rsid w:val="00926C91"/>
    <w:rsid w:val="009278F0"/>
    <w:rsid w:val="009311AB"/>
    <w:rsid w:val="009336DD"/>
    <w:rsid w:val="00936340"/>
    <w:rsid w:val="009376BF"/>
    <w:rsid w:val="00944C15"/>
    <w:rsid w:val="00946DEE"/>
    <w:rsid w:val="009528CB"/>
    <w:rsid w:val="00956762"/>
    <w:rsid w:val="0096556B"/>
    <w:rsid w:val="00965E3F"/>
    <w:rsid w:val="00980A89"/>
    <w:rsid w:val="00986125"/>
    <w:rsid w:val="00993C0F"/>
    <w:rsid w:val="009B1FD1"/>
    <w:rsid w:val="009B7AED"/>
    <w:rsid w:val="009C3AF6"/>
    <w:rsid w:val="009C5544"/>
    <w:rsid w:val="009C703F"/>
    <w:rsid w:val="009D1543"/>
    <w:rsid w:val="009D3633"/>
    <w:rsid w:val="009D4375"/>
    <w:rsid w:val="009D62D8"/>
    <w:rsid w:val="009E06A0"/>
    <w:rsid w:val="009E1DF9"/>
    <w:rsid w:val="009F1FCE"/>
    <w:rsid w:val="009F7B89"/>
    <w:rsid w:val="00A0676A"/>
    <w:rsid w:val="00A13317"/>
    <w:rsid w:val="00A1482D"/>
    <w:rsid w:val="00A14DA2"/>
    <w:rsid w:val="00A165D2"/>
    <w:rsid w:val="00A16FED"/>
    <w:rsid w:val="00A213DD"/>
    <w:rsid w:val="00A2351E"/>
    <w:rsid w:val="00A239BB"/>
    <w:rsid w:val="00A31EDD"/>
    <w:rsid w:val="00A365D7"/>
    <w:rsid w:val="00A36BEF"/>
    <w:rsid w:val="00A36C24"/>
    <w:rsid w:val="00A41642"/>
    <w:rsid w:val="00A44F52"/>
    <w:rsid w:val="00A75046"/>
    <w:rsid w:val="00A94446"/>
    <w:rsid w:val="00AA3586"/>
    <w:rsid w:val="00AA58E4"/>
    <w:rsid w:val="00AB7DC4"/>
    <w:rsid w:val="00AC58BA"/>
    <w:rsid w:val="00AC6277"/>
    <w:rsid w:val="00AD2B04"/>
    <w:rsid w:val="00AD3A79"/>
    <w:rsid w:val="00AD60ED"/>
    <w:rsid w:val="00AD648F"/>
    <w:rsid w:val="00AE01FF"/>
    <w:rsid w:val="00AF35D3"/>
    <w:rsid w:val="00AF3BA3"/>
    <w:rsid w:val="00AF3DB5"/>
    <w:rsid w:val="00AF5049"/>
    <w:rsid w:val="00AF5421"/>
    <w:rsid w:val="00AF6857"/>
    <w:rsid w:val="00AF6C2E"/>
    <w:rsid w:val="00B02AF7"/>
    <w:rsid w:val="00B100F2"/>
    <w:rsid w:val="00B14ADF"/>
    <w:rsid w:val="00B16083"/>
    <w:rsid w:val="00B21976"/>
    <w:rsid w:val="00B22FA4"/>
    <w:rsid w:val="00B258D7"/>
    <w:rsid w:val="00B27348"/>
    <w:rsid w:val="00B31961"/>
    <w:rsid w:val="00B374D3"/>
    <w:rsid w:val="00B422B0"/>
    <w:rsid w:val="00B466E7"/>
    <w:rsid w:val="00B46E15"/>
    <w:rsid w:val="00B47D27"/>
    <w:rsid w:val="00B50166"/>
    <w:rsid w:val="00B51DA7"/>
    <w:rsid w:val="00B51E2D"/>
    <w:rsid w:val="00B549A8"/>
    <w:rsid w:val="00B55B40"/>
    <w:rsid w:val="00B659C6"/>
    <w:rsid w:val="00B70F71"/>
    <w:rsid w:val="00BA1D50"/>
    <w:rsid w:val="00BB291C"/>
    <w:rsid w:val="00BB406D"/>
    <w:rsid w:val="00BB7962"/>
    <w:rsid w:val="00BC3AB9"/>
    <w:rsid w:val="00BC5F20"/>
    <w:rsid w:val="00BD0A5D"/>
    <w:rsid w:val="00BD39DB"/>
    <w:rsid w:val="00BD7B64"/>
    <w:rsid w:val="00BE55DE"/>
    <w:rsid w:val="00BE7E28"/>
    <w:rsid w:val="00BF2232"/>
    <w:rsid w:val="00BF5E1F"/>
    <w:rsid w:val="00BF6D64"/>
    <w:rsid w:val="00BF7DF6"/>
    <w:rsid w:val="00C00479"/>
    <w:rsid w:val="00C02C3B"/>
    <w:rsid w:val="00C05851"/>
    <w:rsid w:val="00C204C9"/>
    <w:rsid w:val="00C361CA"/>
    <w:rsid w:val="00C40ABF"/>
    <w:rsid w:val="00C46467"/>
    <w:rsid w:val="00C466CA"/>
    <w:rsid w:val="00C567E9"/>
    <w:rsid w:val="00C57618"/>
    <w:rsid w:val="00C659E8"/>
    <w:rsid w:val="00C80825"/>
    <w:rsid w:val="00C83E0F"/>
    <w:rsid w:val="00C96D71"/>
    <w:rsid w:val="00C97628"/>
    <w:rsid w:val="00CA11DA"/>
    <w:rsid w:val="00CA5928"/>
    <w:rsid w:val="00CB133B"/>
    <w:rsid w:val="00CB1E20"/>
    <w:rsid w:val="00CB461A"/>
    <w:rsid w:val="00CB769A"/>
    <w:rsid w:val="00CC7EAC"/>
    <w:rsid w:val="00CD1755"/>
    <w:rsid w:val="00CD4E96"/>
    <w:rsid w:val="00CD54ED"/>
    <w:rsid w:val="00CD7A36"/>
    <w:rsid w:val="00CF118C"/>
    <w:rsid w:val="00CF3417"/>
    <w:rsid w:val="00CF385A"/>
    <w:rsid w:val="00CF7A02"/>
    <w:rsid w:val="00D059C4"/>
    <w:rsid w:val="00D06BF4"/>
    <w:rsid w:val="00D07239"/>
    <w:rsid w:val="00D14CE1"/>
    <w:rsid w:val="00D16F8D"/>
    <w:rsid w:val="00D224D7"/>
    <w:rsid w:val="00D27717"/>
    <w:rsid w:val="00D30C78"/>
    <w:rsid w:val="00D32232"/>
    <w:rsid w:val="00D33A8C"/>
    <w:rsid w:val="00D37E7C"/>
    <w:rsid w:val="00D40A02"/>
    <w:rsid w:val="00D419C7"/>
    <w:rsid w:val="00D469C1"/>
    <w:rsid w:val="00D46CFD"/>
    <w:rsid w:val="00D56E43"/>
    <w:rsid w:val="00D70EBC"/>
    <w:rsid w:val="00D85547"/>
    <w:rsid w:val="00D868FA"/>
    <w:rsid w:val="00D87986"/>
    <w:rsid w:val="00D92105"/>
    <w:rsid w:val="00D94D51"/>
    <w:rsid w:val="00DA4344"/>
    <w:rsid w:val="00DA4D79"/>
    <w:rsid w:val="00DA4F20"/>
    <w:rsid w:val="00DB159B"/>
    <w:rsid w:val="00DB1CD0"/>
    <w:rsid w:val="00DC0521"/>
    <w:rsid w:val="00DC108C"/>
    <w:rsid w:val="00DC11B5"/>
    <w:rsid w:val="00DC7754"/>
    <w:rsid w:val="00DD00D2"/>
    <w:rsid w:val="00DD0149"/>
    <w:rsid w:val="00DD6DAA"/>
    <w:rsid w:val="00DE211A"/>
    <w:rsid w:val="00DE74F3"/>
    <w:rsid w:val="00DF669F"/>
    <w:rsid w:val="00E023BB"/>
    <w:rsid w:val="00E05754"/>
    <w:rsid w:val="00E10346"/>
    <w:rsid w:val="00E1199F"/>
    <w:rsid w:val="00E22699"/>
    <w:rsid w:val="00E24A81"/>
    <w:rsid w:val="00E33224"/>
    <w:rsid w:val="00E4165D"/>
    <w:rsid w:val="00E43549"/>
    <w:rsid w:val="00E458DA"/>
    <w:rsid w:val="00E45F34"/>
    <w:rsid w:val="00E4660E"/>
    <w:rsid w:val="00E532A3"/>
    <w:rsid w:val="00E545A6"/>
    <w:rsid w:val="00E57ADE"/>
    <w:rsid w:val="00E63997"/>
    <w:rsid w:val="00E65CDB"/>
    <w:rsid w:val="00E735FE"/>
    <w:rsid w:val="00E73788"/>
    <w:rsid w:val="00E81EB2"/>
    <w:rsid w:val="00E83629"/>
    <w:rsid w:val="00E8375C"/>
    <w:rsid w:val="00E86B07"/>
    <w:rsid w:val="00E9166A"/>
    <w:rsid w:val="00E94E39"/>
    <w:rsid w:val="00E97887"/>
    <w:rsid w:val="00EA6563"/>
    <w:rsid w:val="00EB43B0"/>
    <w:rsid w:val="00EB621D"/>
    <w:rsid w:val="00EC5412"/>
    <w:rsid w:val="00EC5C30"/>
    <w:rsid w:val="00ED07DF"/>
    <w:rsid w:val="00ED1166"/>
    <w:rsid w:val="00ED16D6"/>
    <w:rsid w:val="00ED2F55"/>
    <w:rsid w:val="00ED5386"/>
    <w:rsid w:val="00ED62A3"/>
    <w:rsid w:val="00EE1EC1"/>
    <w:rsid w:val="00EF41D6"/>
    <w:rsid w:val="00EF4EAA"/>
    <w:rsid w:val="00EF5AE1"/>
    <w:rsid w:val="00EF5F2B"/>
    <w:rsid w:val="00F00919"/>
    <w:rsid w:val="00F01D0E"/>
    <w:rsid w:val="00F037B0"/>
    <w:rsid w:val="00F04A1A"/>
    <w:rsid w:val="00F139D6"/>
    <w:rsid w:val="00F234D8"/>
    <w:rsid w:val="00F24A8D"/>
    <w:rsid w:val="00F258B9"/>
    <w:rsid w:val="00F2710C"/>
    <w:rsid w:val="00F27ABC"/>
    <w:rsid w:val="00F32999"/>
    <w:rsid w:val="00F41088"/>
    <w:rsid w:val="00F505F6"/>
    <w:rsid w:val="00F50FD8"/>
    <w:rsid w:val="00F52169"/>
    <w:rsid w:val="00F57999"/>
    <w:rsid w:val="00F579AC"/>
    <w:rsid w:val="00F61C07"/>
    <w:rsid w:val="00F62294"/>
    <w:rsid w:val="00F731FD"/>
    <w:rsid w:val="00F757CD"/>
    <w:rsid w:val="00F75D72"/>
    <w:rsid w:val="00F876A1"/>
    <w:rsid w:val="00F91A30"/>
    <w:rsid w:val="00F924F1"/>
    <w:rsid w:val="00FA21C0"/>
    <w:rsid w:val="00FB012A"/>
    <w:rsid w:val="00FB6274"/>
    <w:rsid w:val="00FB7B72"/>
    <w:rsid w:val="00FB7D2D"/>
    <w:rsid w:val="00FC52AB"/>
    <w:rsid w:val="00FD1FE7"/>
    <w:rsid w:val="00FD6EC8"/>
    <w:rsid w:val="00FE2D66"/>
    <w:rsid w:val="00FE34E5"/>
    <w:rsid w:val="00FE3B84"/>
    <w:rsid w:val="00FE5B43"/>
    <w:rsid w:val="00FF56A5"/>
    <w:rsid w:val="00FF7838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AC963"/>
  <w15:chartTrackingRefBased/>
  <w15:docId w15:val="{7C3C7D6D-04B0-4353-A83B-4C4246F0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8C"/>
  </w:style>
  <w:style w:type="paragraph" w:styleId="Heading1">
    <w:name w:val="heading 1"/>
    <w:basedOn w:val="Default"/>
    <w:next w:val="Normal"/>
    <w:link w:val="Heading1Char"/>
    <w:uiPriority w:val="9"/>
    <w:qFormat/>
    <w:rsid w:val="0030513A"/>
    <w:pPr>
      <w:jc w:val="center"/>
      <w:outlineLvl w:val="0"/>
    </w:pPr>
    <w:rPr>
      <w:rFonts w:asciiTheme="minorHAnsi" w:hAnsiTheme="minorHAnsi" w:cstheme="minorBidi"/>
      <w:b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28"/>
    <w:p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C7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F7838"/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13A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7628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F6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8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399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C4"/>
  </w:style>
  <w:style w:type="paragraph" w:styleId="Footer">
    <w:name w:val="footer"/>
    <w:basedOn w:val="Normal"/>
    <w:link w:val="FooterChar"/>
    <w:uiPriority w:val="99"/>
    <w:unhideWhenUsed/>
    <w:rsid w:val="00AB7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C4"/>
  </w:style>
  <w:style w:type="paragraph" w:styleId="Caption">
    <w:name w:val="caption"/>
    <w:basedOn w:val="Normal"/>
    <w:next w:val="Normal"/>
    <w:uiPriority w:val="35"/>
    <w:unhideWhenUsed/>
    <w:qFormat/>
    <w:rsid w:val="004E67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8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329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4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4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44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4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4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44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313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ndication">
    <w:name w:val="indication"/>
    <w:basedOn w:val="DefaultParagraphFont"/>
    <w:rsid w:val="0023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D995CADAD1C458FDC438FFAB07C42" ma:contentTypeVersion="10" ma:contentTypeDescription="Create a new document." ma:contentTypeScope="" ma:versionID="ae313a2c57df895be3410da05970e9b7">
  <xsd:schema xmlns:xsd="http://www.w3.org/2001/XMLSchema" xmlns:xs="http://www.w3.org/2001/XMLSchema" xmlns:p="http://schemas.microsoft.com/office/2006/metadata/properties" xmlns:ns3="919a1c71-5ea5-4883-9215-b4fd8973c6ff" xmlns:ns4="1411948e-0584-4495-bd60-51b7a3afaee4" targetNamespace="http://schemas.microsoft.com/office/2006/metadata/properties" ma:root="true" ma:fieldsID="e3f4a8bf5221510e89846c7cd556964d" ns3:_="" ns4:_="">
    <xsd:import namespace="919a1c71-5ea5-4883-9215-b4fd8973c6ff"/>
    <xsd:import namespace="1411948e-0584-4495-bd60-51b7a3afae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1c71-5ea5-4883-9215-b4fd8973c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1948e-0584-4495-bd60-51b7a3afa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D814-7507-4310-AA79-5B915B2D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1c71-5ea5-4883-9215-b4fd8973c6ff"/>
    <ds:schemaRef ds:uri="1411948e-0584-4495-bd60-51b7a3afa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E852D-EE73-4479-B11E-87CD26279777}">
  <ds:schemaRefs>
    <ds:schemaRef ds:uri="1411948e-0584-4495-bd60-51b7a3afaee4"/>
    <ds:schemaRef ds:uri="http://purl.org/dc/dcmitype/"/>
    <ds:schemaRef ds:uri="919a1c71-5ea5-4883-9215-b4fd8973c6f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B91B5A-8BF6-4C6D-A43F-82E2C6713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69588-7A15-489E-821E-457BD3F4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Given, Joanne</dc:creator>
  <cp:keywords/>
  <dc:description/>
  <cp:lastModifiedBy>Loane, Maria</cp:lastModifiedBy>
  <cp:revision>2</cp:revision>
  <cp:lastPrinted>2019-04-15T14:36:00Z</cp:lastPrinted>
  <dcterms:created xsi:type="dcterms:W3CDTF">2019-10-31T16:03:00Z</dcterms:created>
  <dcterms:modified xsi:type="dcterms:W3CDTF">2019-10-31T16:03:00Z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http://www.zotero.org/styles/american-journal-of-epidemiology</vt:lpwstr>
  </property>
  <property fmtid="{D5CDD505-2E9C-101B-9397-08002B2CF9AE}" pid="3" name="Mendeley Recent Style Name 0_1">
    <vt:lpwstr>American Journal of Epidemiology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http://csl.mendeley.com/styles/3645571/bmj-2</vt:lpwstr>
  </property>
  <property fmtid="{D5CDD505-2E9C-101B-9397-08002B2CF9AE}" pid="9" name="Mendeley Recent Style Name 3_1">
    <vt:lpwstr>BMJ - Joanne Given</vt:lpwstr>
  </property>
  <property fmtid="{D5CDD505-2E9C-101B-9397-08002B2CF9AE}" pid="10" name="Mendeley Recent Style Id 4_1">
    <vt:lpwstr>http://www.zotero.org/styles/harvard-bournemouth-university</vt:lpwstr>
  </property>
  <property fmtid="{D5CDD505-2E9C-101B-9397-08002B2CF9AE}" pid="11" name="Mendeley Recent Style Name 4_1">
    <vt:lpwstr>Bournemouth University - Harvard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Harvard - Cite Them Right 9th edition</vt:lpwstr>
  </property>
  <property fmtid="{D5CDD505-2E9C-101B-9397-08002B2CF9AE}" pid="14" name="Mendeley Recent Style Id 6_1">
    <vt:lpwstr>http://www.zotero.org/styles/paediatric-and-perinatal-epidemiology</vt:lpwstr>
  </property>
  <property fmtid="{D5CDD505-2E9C-101B-9397-08002B2CF9AE}" pid="15" name="Mendeley Recent Style Name 6_1">
    <vt:lpwstr>Paediatric and Perinatal Epidemiology</vt:lpwstr>
  </property>
  <property fmtid="{D5CDD505-2E9C-101B-9397-08002B2CF9AE}" pid="16" name="Mendeley Recent Style Id 7_1">
    <vt:lpwstr>http://www.zotero.org/styles/sage-harvard</vt:lpwstr>
  </property>
  <property fmtid="{D5CDD505-2E9C-101B-9397-08002B2CF9AE}" pid="17" name="Mendeley Recent Style Name 7_1">
    <vt:lpwstr>SAGE Harvard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http://csl.mendeley.com/styles/3645571/vancouver-superscript-2</vt:lpwstr>
  </property>
  <property fmtid="{D5CDD505-2E9C-101B-9397-08002B2CF9AE}" pid="21" name="Mendeley Recent Style Name 9_1">
    <vt:lpwstr>Vancouver (superscript) - Joanne Given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d92a9801-c95a-34a3-bf63-cd71c22b3e7e</vt:lpwstr>
  </property>
  <property fmtid="{D5CDD505-2E9C-101B-9397-08002B2CF9AE}" pid="24" name="Mendeley Citation Style_1">
    <vt:lpwstr>http://www.zotero.org/styles/harvard-bournemouth-university</vt:lpwstr>
  </property>
  <property fmtid="{D5CDD505-2E9C-101B-9397-08002B2CF9AE}" pid="25" name="ContentTypeId">
    <vt:lpwstr>0x010100BC4D995CADAD1C458FDC438FFAB07C42</vt:lpwstr>
  </property>
</Properties>
</file>